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2E60" w14:textId="793F6548" w:rsidR="00183374" w:rsidRPr="00876C32" w:rsidRDefault="007E475E">
      <w:pPr>
        <w:pStyle w:val="BodyText"/>
        <w:ind w:left="0"/>
        <w:rPr>
          <w:rFonts w:ascii="Times New Roman"/>
        </w:rPr>
      </w:pPr>
      <w:r w:rsidRPr="00876C32">
        <w:rPr>
          <w:noProof/>
        </w:rPr>
        <w:drawing>
          <wp:inline distT="0" distB="0" distL="0" distR="0" wp14:anchorId="61551A58" wp14:editId="42671FCE">
            <wp:extent cx="2476500" cy="678493"/>
            <wp:effectExtent l="0" t="0" r="0" b="7620"/>
            <wp:docPr id="2" name="Picture 2" descr="ASSP Greater Boston Chapter – American Society of Safety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P Greater Boston Chapter – American Society of Safety Professiona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47" cy="681437"/>
                    </a:xfrm>
                    <a:prstGeom prst="rect">
                      <a:avLst/>
                    </a:prstGeom>
                    <a:noFill/>
                    <a:ln>
                      <a:noFill/>
                    </a:ln>
                  </pic:spPr>
                </pic:pic>
              </a:graphicData>
            </a:graphic>
          </wp:inline>
        </w:drawing>
      </w:r>
    </w:p>
    <w:p w14:paraId="0C6BCA1B" w14:textId="77777777" w:rsidR="00183374" w:rsidRPr="00876C32" w:rsidRDefault="00183374">
      <w:pPr>
        <w:pStyle w:val="BodyText"/>
        <w:ind w:left="0"/>
        <w:rPr>
          <w:rFonts w:ascii="Times New Roman"/>
        </w:rPr>
      </w:pPr>
    </w:p>
    <w:p w14:paraId="6A2CF7A4" w14:textId="77777777" w:rsidR="00385212" w:rsidRPr="00876C32" w:rsidRDefault="00385212" w:rsidP="00C3403C">
      <w:pPr>
        <w:pStyle w:val="BodyText"/>
        <w:spacing w:before="10"/>
        <w:ind w:left="0"/>
        <w:rPr>
          <w:b/>
          <w:bCs/>
          <w:color w:val="006300"/>
          <w:sz w:val="36"/>
          <w:szCs w:val="36"/>
        </w:rPr>
      </w:pPr>
      <w:r w:rsidRPr="00876C32">
        <w:rPr>
          <w:b/>
          <w:bCs/>
          <w:color w:val="006300"/>
          <w:sz w:val="36"/>
          <w:szCs w:val="36"/>
        </w:rPr>
        <w:t>Greater Boston Chapter of ASSP</w:t>
      </w:r>
    </w:p>
    <w:p w14:paraId="4564CD06" w14:textId="5905202B" w:rsidR="00CF1237" w:rsidRPr="00876C32" w:rsidRDefault="009D1AA1" w:rsidP="00C3403C">
      <w:pPr>
        <w:pStyle w:val="BodyText"/>
        <w:spacing w:before="10"/>
        <w:ind w:left="0"/>
        <w:rPr>
          <w:b/>
          <w:sz w:val="32"/>
          <w:szCs w:val="22"/>
        </w:rPr>
      </w:pPr>
      <w:r w:rsidRPr="00876C32">
        <w:rPr>
          <w:b/>
          <w:sz w:val="32"/>
          <w:szCs w:val="22"/>
        </w:rPr>
        <w:t>In-Person Technical Meeting with Triumvirate Environmental (Hosted at Ultragenyx)</w:t>
      </w:r>
    </w:p>
    <w:p w14:paraId="5C02BE60" w14:textId="77777777" w:rsidR="009D1AA1" w:rsidRPr="00876C32" w:rsidRDefault="009D1AA1" w:rsidP="00C3403C">
      <w:pPr>
        <w:pStyle w:val="BodyText"/>
        <w:spacing w:before="10"/>
        <w:ind w:left="0"/>
        <w:rPr>
          <w:b/>
          <w:sz w:val="32"/>
          <w:szCs w:val="22"/>
        </w:rPr>
      </w:pPr>
    </w:p>
    <w:p w14:paraId="01D7FD21" w14:textId="07445530" w:rsidR="00385212" w:rsidRPr="00876C32" w:rsidRDefault="00385212" w:rsidP="00385212">
      <w:pPr>
        <w:pStyle w:val="BodyText"/>
        <w:spacing w:before="10"/>
        <w:ind w:left="0"/>
        <w:rPr>
          <w:b/>
          <w:bCs/>
          <w:szCs w:val="14"/>
        </w:rPr>
      </w:pPr>
      <w:r w:rsidRPr="00876C32">
        <w:rPr>
          <w:b/>
          <w:bCs/>
          <w:szCs w:val="14"/>
        </w:rPr>
        <w:t xml:space="preserve">In-Person Technical Meeting – </w:t>
      </w:r>
      <w:r w:rsidR="009D1AA1" w:rsidRPr="00876C32">
        <w:rPr>
          <w:b/>
          <w:bCs/>
          <w:szCs w:val="14"/>
        </w:rPr>
        <w:t>Winter</w:t>
      </w:r>
      <w:r w:rsidR="002B7F55" w:rsidRPr="00876C32">
        <w:rPr>
          <w:b/>
          <w:bCs/>
          <w:szCs w:val="14"/>
        </w:rPr>
        <w:t xml:space="preserve"> 2026</w:t>
      </w:r>
    </w:p>
    <w:p w14:paraId="56168685" w14:textId="00FEC2FE" w:rsidR="00385212" w:rsidRPr="00876C32" w:rsidRDefault="00385212" w:rsidP="00385212">
      <w:pPr>
        <w:pStyle w:val="BodyText"/>
        <w:spacing w:before="10"/>
        <w:ind w:left="0"/>
        <w:rPr>
          <w:bCs/>
          <w:szCs w:val="14"/>
        </w:rPr>
      </w:pPr>
      <w:r w:rsidRPr="00876C32">
        <w:rPr>
          <w:b/>
          <w:bCs/>
          <w:szCs w:val="14"/>
        </w:rPr>
        <w:t>Proposed Date:</w:t>
      </w:r>
      <w:r w:rsidRPr="00876C32">
        <w:rPr>
          <w:bCs/>
          <w:szCs w:val="14"/>
        </w:rPr>
        <w:t xml:space="preserve"> </w:t>
      </w:r>
      <w:r w:rsidR="009D1AA1" w:rsidRPr="00876C32">
        <w:rPr>
          <w:b/>
          <w:bCs/>
          <w:szCs w:val="14"/>
        </w:rPr>
        <w:t>Thursday February 19,</w:t>
      </w:r>
      <w:r w:rsidR="002B7F55" w:rsidRPr="00876C32">
        <w:rPr>
          <w:b/>
          <w:bCs/>
          <w:szCs w:val="14"/>
        </w:rPr>
        <w:t xml:space="preserve"> 2026</w:t>
      </w:r>
      <w:r w:rsidR="00EB3A61">
        <w:rPr>
          <w:b/>
          <w:bCs/>
          <w:szCs w:val="14"/>
        </w:rPr>
        <w:t xml:space="preserve"> </w:t>
      </w:r>
      <w:r w:rsidR="00C06E97">
        <w:rPr>
          <w:b/>
          <w:bCs/>
          <w:szCs w:val="14"/>
        </w:rPr>
        <w:t>4</w:t>
      </w:r>
      <w:r w:rsidR="00EB3A61">
        <w:rPr>
          <w:b/>
          <w:bCs/>
          <w:szCs w:val="14"/>
        </w:rPr>
        <w:t xml:space="preserve">pm to </w:t>
      </w:r>
      <w:r w:rsidR="00C06E97">
        <w:rPr>
          <w:b/>
          <w:bCs/>
          <w:szCs w:val="14"/>
        </w:rPr>
        <w:t>6</w:t>
      </w:r>
      <w:r w:rsidR="00EB3A61">
        <w:rPr>
          <w:b/>
          <w:bCs/>
          <w:szCs w:val="14"/>
        </w:rPr>
        <w:t>pm</w:t>
      </w:r>
      <w:r w:rsidRPr="00876C32">
        <w:rPr>
          <w:bCs/>
          <w:szCs w:val="14"/>
        </w:rPr>
        <w:br/>
      </w:r>
      <w:r w:rsidRPr="00876C32">
        <w:rPr>
          <w:b/>
          <w:bCs/>
          <w:szCs w:val="14"/>
        </w:rPr>
        <w:t>Format:</w:t>
      </w:r>
      <w:r w:rsidRPr="00876C32">
        <w:rPr>
          <w:bCs/>
          <w:szCs w:val="14"/>
        </w:rPr>
        <w:t xml:space="preserve"> In-Person | </w:t>
      </w:r>
      <w:r w:rsidRPr="00876C32">
        <w:rPr>
          <w:bCs/>
          <w:szCs w:val="14"/>
          <w:highlight w:val="yellow"/>
        </w:rPr>
        <w:t>Joint Chapter Event</w:t>
      </w:r>
      <w:r w:rsidR="002B7F55" w:rsidRPr="00876C32">
        <w:rPr>
          <w:bCs/>
          <w:szCs w:val="14"/>
          <w:highlight w:val="yellow"/>
        </w:rPr>
        <w:t xml:space="preserve"> with </w:t>
      </w:r>
      <w:r w:rsidR="009D1AA1" w:rsidRPr="00876C32">
        <w:rPr>
          <w:bCs/>
          <w:szCs w:val="14"/>
          <w:highlight w:val="yellow"/>
        </w:rPr>
        <w:t>ISPE (TBD)</w:t>
      </w:r>
      <w:r w:rsidRPr="00876C32">
        <w:rPr>
          <w:bCs/>
          <w:szCs w:val="14"/>
        </w:rPr>
        <w:br/>
      </w:r>
      <w:r w:rsidRPr="00876C32">
        <w:rPr>
          <w:b/>
          <w:bCs/>
          <w:szCs w:val="14"/>
        </w:rPr>
        <w:t>CEUs:</w:t>
      </w:r>
      <w:r w:rsidRPr="00876C32">
        <w:rPr>
          <w:bCs/>
          <w:szCs w:val="14"/>
        </w:rPr>
        <w:t xml:space="preserve"> Pending (ASSP credit anticipated, subject to final agenda)</w:t>
      </w:r>
      <w:r w:rsidRPr="00876C32">
        <w:rPr>
          <w:bCs/>
          <w:szCs w:val="14"/>
        </w:rPr>
        <w:br/>
      </w:r>
      <w:r w:rsidRPr="00876C32">
        <w:rPr>
          <w:b/>
          <w:bCs/>
          <w:szCs w:val="14"/>
        </w:rPr>
        <w:t>Audience:</w:t>
      </w:r>
    </w:p>
    <w:p w14:paraId="74067062" w14:textId="3029E897" w:rsidR="009F07C0" w:rsidRPr="00876C32" w:rsidRDefault="009F07C0" w:rsidP="009F07C0">
      <w:pPr>
        <w:pStyle w:val="BodyText"/>
        <w:numPr>
          <w:ilvl w:val="0"/>
          <w:numId w:val="27"/>
        </w:numPr>
        <w:spacing w:before="10"/>
        <w:rPr>
          <w:bCs/>
          <w:szCs w:val="14"/>
        </w:rPr>
      </w:pPr>
      <w:r w:rsidRPr="00876C32">
        <w:rPr>
          <w:bCs/>
          <w:szCs w:val="14"/>
        </w:rPr>
        <w:t>EHS Professionals</w:t>
      </w:r>
    </w:p>
    <w:p w14:paraId="7800EA07" w14:textId="5EC635C1" w:rsidR="009F07C0" w:rsidRPr="00876C32" w:rsidRDefault="009F07C0" w:rsidP="009F07C0">
      <w:pPr>
        <w:pStyle w:val="BodyText"/>
        <w:numPr>
          <w:ilvl w:val="0"/>
          <w:numId w:val="27"/>
        </w:numPr>
        <w:spacing w:before="10"/>
        <w:rPr>
          <w:bCs/>
          <w:szCs w:val="14"/>
        </w:rPr>
      </w:pPr>
      <w:r w:rsidRPr="00876C32">
        <w:rPr>
          <w:bCs/>
          <w:szCs w:val="14"/>
        </w:rPr>
        <w:t>Safety Managers &amp; Directors</w:t>
      </w:r>
    </w:p>
    <w:p w14:paraId="0026AB7B" w14:textId="043AA248" w:rsidR="009F07C0" w:rsidRPr="00876C32" w:rsidRDefault="009F07C0" w:rsidP="009F07C0">
      <w:pPr>
        <w:pStyle w:val="BodyText"/>
        <w:numPr>
          <w:ilvl w:val="0"/>
          <w:numId w:val="27"/>
        </w:numPr>
        <w:spacing w:before="10"/>
        <w:rPr>
          <w:bCs/>
          <w:szCs w:val="14"/>
        </w:rPr>
      </w:pPr>
      <w:r w:rsidRPr="00876C32">
        <w:rPr>
          <w:bCs/>
          <w:szCs w:val="14"/>
        </w:rPr>
        <w:t>Environmental Managers</w:t>
      </w:r>
    </w:p>
    <w:p w14:paraId="53713A6C" w14:textId="36535EC7" w:rsidR="009F07C0" w:rsidRPr="00876C32" w:rsidRDefault="009F07C0" w:rsidP="009F07C0">
      <w:pPr>
        <w:pStyle w:val="BodyText"/>
        <w:numPr>
          <w:ilvl w:val="0"/>
          <w:numId w:val="27"/>
        </w:numPr>
        <w:spacing w:before="10"/>
        <w:rPr>
          <w:bCs/>
          <w:szCs w:val="14"/>
        </w:rPr>
      </w:pPr>
      <w:r w:rsidRPr="00876C32">
        <w:rPr>
          <w:bCs/>
          <w:szCs w:val="14"/>
        </w:rPr>
        <w:t>Risk Management Professionals</w:t>
      </w:r>
    </w:p>
    <w:p w14:paraId="25FDD5D3" w14:textId="3353BAC1" w:rsidR="009F07C0" w:rsidRPr="00876C32" w:rsidRDefault="009F07C0" w:rsidP="009F07C0">
      <w:pPr>
        <w:pStyle w:val="BodyText"/>
        <w:numPr>
          <w:ilvl w:val="0"/>
          <w:numId w:val="27"/>
        </w:numPr>
        <w:spacing w:before="10"/>
        <w:rPr>
          <w:bCs/>
          <w:szCs w:val="14"/>
        </w:rPr>
      </w:pPr>
      <w:r w:rsidRPr="00876C32">
        <w:rPr>
          <w:bCs/>
          <w:szCs w:val="14"/>
        </w:rPr>
        <w:t>Facilities, Operations &amp; Compliance Leaders</w:t>
      </w:r>
    </w:p>
    <w:p w14:paraId="38E9B0DA" w14:textId="59395694" w:rsidR="009F07C0" w:rsidRPr="00876C32" w:rsidRDefault="009F07C0" w:rsidP="009F07C0">
      <w:pPr>
        <w:pStyle w:val="BodyText"/>
        <w:numPr>
          <w:ilvl w:val="0"/>
          <w:numId w:val="27"/>
        </w:numPr>
        <w:spacing w:before="10"/>
        <w:rPr>
          <w:bCs/>
          <w:szCs w:val="14"/>
        </w:rPr>
      </w:pPr>
      <w:r w:rsidRPr="00876C32">
        <w:rPr>
          <w:bCs/>
          <w:szCs w:val="14"/>
        </w:rPr>
        <w:t>Laboratory &amp; Research Safety Professionals</w:t>
      </w:r>
    </w:p>
    <w:p w14:paraId="42958DE2" w14:textId="1DA1DA5B" w:rsidR="009F07C0" w:rsidRPr="00876C32" w:rsidRDefault="009F07C0" w:rsidP="009F07C0">
      <w:pPr>
        <w:pStyle w:val="BodyText"/>
        <w:numPr>
          <w:ilvl w:val="0"/>
          <w:numId w:val="27"/>
        </w:numPr>
        <w:spacing w:before="10"/>
        <w:rPr>
          <w:bCs/>
          <w:szCs w:val="14"/>
        </w:rPr>
      </w:pPr>
      <w:r w:rsidRPr="00876C32">
        <w:rPr>
          <w:bCs/>
          <w:szCs w:val="14"/>
        </w:rPr>
        <w:t>Manufacturing Safety &amp; Operations Leaders</w:t>
      </w:r>
    </w:p>
    <w:p w14:paraId="4B8DB99B" w14:textId="134AB8A2" w:rsidR="009F07C0" w:rsidRPr="00876C32" w:rsidRDefault="009F07C0" w:rsidP="009F07C0">
      <w:pPr>
        <w:pStyle w:val="BodyText"/>
        <w:numPr>
          <w:ilvl w:val="0"/>
          <w:numId w:val="27"/>
        </w:numPr>
        <w:spacing w:before="10"/>
        <w:rPr>
          <w:bCs/>
          <w:szCs w:val="14"/>
        </w:rPr>
      </w:pPr>
      <w:r w:rsidRPr="00876C32">
        <w:rPr>
          <w:bCs/>
          <w:szCs w:val="14"/>
        </w:rPr>
        <w:t>Life Sciences &amp; Biotech EHS Teams</w:t>
      </w:r>
    </w:p>
    <w:p w14:paraId="4C770EAF" w14:textId="2C99B1BC" w:rsidR="009F07C0" w:rsidRPr="00876C32" w:rsidRDefault="009F07C0" w:rsidP="009F07C0">
      <w:pPr>
        <w:pStyle w:val="BodyText"/>
        <w:numPr>
          <w:ilvl w:val="0"/>
          <w:numId w:val="27"/>
        </w:numPr>
        <w:spacing w:before="10"/>
        <w:rPr>
          <w:bCs/>
          <w:szCs w:val="14"/>
        </w:rPr>
      </w:pPr>
      <w:r w:rsidRPr="00876C32">
        <w:rPr>
          <w:bCs/>
          <w:szCs w:val="14"/>
        </w:rPr>
        <w:t>Fire Protection &amp; Emergency Management Professionals</w:t>
      </w:r>
    </w:p>
    <w:p w14:paraId="5A7BDDAE" w14:textId="705E55DB" w:rsidR="00876C32" w:rsidRPr="00876C32" w:rsidRDefault="009F07C0" w:rsidP="009F07C0">
      <w:pPr>
        <w:pStyle w:val="BodyText"/>
        <w:numPr>
          <w:ilvl w:val="0"/>
          <w:numId w:val="27"/>
        </w:numPr>
        <w:spacing w:before="10"/>
        <w:rPr>
          <w:bCs/>
          <w:szCs w:val="14"/>
        </w:rPr>
      </w:pPr>
      <w:r w:rsidRPr="00876C32">
        <w:rPr>
          <w:bCs/>
          <w:szCs w:val="14"/>
        </w:rPr>
        <w:t>Waste Management &amp; Environmental Compliance Specialis</w:t>
      </w:r>
      <w:r w:rsidR="00876C32" w:rsidRPr="00876C32">
        <w:rPr>
          <w:bCs/>
          <w:szCs w:val="14"/>
        </w:rPr>
        <w:t>ts</w:t>
      </w:r>
    </w:p>
    <w:p w14:paraId="0D1D68D6" w14:textId="0E8B7B85" w:rsidR="00876C32" w:rsidRPr="00876C32" w:rsidRDefault="00876C32" w:rsidP="00876C32">
      <w:pPr>
        <w:pStyle w:val="BodyText"/>
        <w:spacing w:before="10"/>
        <w:ind w:left="0"/>
        <w:rPr>
          <w:bCs/>
          <w:szCs w:val="14"/>
        </w:rPr>
      </w:pPr>
    </w:p>
    <w:p w14:paraId="68653898" w14:textId="3805B5E3" w:rsidR="00385212" w:rsidRPr="00876C32" w:rsidRDefault="00876C32" w:rsidP="00876C32">
      <w:pPr>
        <w:pStyle w:val="BodyText"/>
        <w:spacing w:before="10"/>
        <w:ind w:left="0"/>
        <w:rPr>
          <w:bCs/>
          <w:szCs w:val="14"/>
        </w:rPr>
      </w:pPr>
      <w:r w:rsidRPr="00876C32">
        <w:rPr>
          <w:b/>
          <w:bCs/>
          <w:szCs w:val="14"/>
        </w:rPr>
        <w:t>P</w:t>
      </w:r>
      <w:r>
        <w:rPr>
          <w:b/>
          <w:bCs/>
          <w:szCs w:val="14"/>
        </w:rPr>
        <w:t>ost Meeting Social Venue</w:t>
      </w:r>
      <w:r w:rsidRPr="00876C32">
        <w:rPr>
          <w:b/>
          <w:bCs/>
          <w:szCs w:val="14"/>
        </w:rPr>
        <w:t>:</w:t>
      </w:r>
      <w:r w:rsidRPr="00876C32">
        <w:rPr>
          <w:bCs/>
          <w:szCs w:val="14"/>
        </w:rPr>
        <w:t xml:space="preserve"> </w:t>
      </w:r>
      <w:r>
        <w:rPr>
          <w:bCs/>
          <w:szCs w:val="14"/>
        </w:rPr>
        <w:t>Tavern on the Square Woburn</w:t>
      </w:r>
      <w:r w:rsidR="00C06E97">
        <w:rPr>
          <w:bCs/>
          <w:szCs w:val="14"/>
        </w:rPr>
        <w:pict w14:anchorId="767D1A7E">
          <v:rect id="_x0000_i1025" style="width:466.8pt;height:.25pt" o:hrpct="989" o:hralign="center" o:hrstd="t" o:hr="t" fillcolor="#a0a0a0" stroked="f"/>
        </w:pict>
      </w:r>
    </w:p>
    <w:p w14:paraId="0E390E1E" w14:textId="77777777" w:rsidR="00385212" w:rsidRPr="00876C32" w:rsidRDefault="00385212" w:rsidP="00385212">
      <w:pPr>
        <w:pStyle w:val="BodyText"/>
        <w:spacing w:before="10"/>
        <w:ind w:left="0"/>
        <w:rPr>
          <w:b/>
          <w:bCs/>
          <w:szCs w:val="14"/>
        </w:rPr>
      </w:pPr>
      <w:r w:rsidRPr="00876C32">
        <w:rPr>
          <w:b/>
          <w:bCs/>
          <w:szCs w:val="14"/>
        </w:rPr>
        <w:t>Technical Session Title</w:t>
      </w:r>
    </w:p>
    <w:p w14:paraId="52A2CDAA" w14:textId="77777777" w:rsidR="00C7743F" w:rsidRPr="00876C32" w:rsidRDefault="00C7743F" w:rsidP="00385212">
      <w:pPr>
        <w:pStyle w:val="BodyText"/>
        <w:spacing w:before="10"/>
        <w:ind w:left="0"/>
        <w:rPr>
          <w:b/>
          <w:bCs/>
          <w:szCs w:val="14"/>
        </w:rPr>
      </w:pPr>
      <w:r w:rsidRPr="00876C32">
        <w:rPr>
          <w:b/>
          <w:bCs/>
          <w:szCs w:val="14"/>
        </w:rPr>
        <w:t>RCRA at the Edge: A Practical Refresher for Managing High-Risk Waste in Life Sciences, Advanced Manufacturing, and R&amp;D</w:t>
      </w:r>
    </w:p>
    <w:p w14:paraId="31651A89" w14:textId="77777777" w:rsidR="00C7743F" w:rsidRPr="00876C32" w:rsidRDefault="00C7743F" w:rsidP="00385212">
      <w:pPr>
        <w:pStyle w:val="BodyText"/>
        <w:spacing w:before="10"/>
        <w:ind w:left="0"/>
        <w:rPr>
          <w:b/>
          <w:bCs/>
          <w:szCs w:val="14"/>
        </w:rPr>
      </w:pPr>
    </w:p>
    <w:p w14:paraId="6C2D1791" w14:textId="4AB8DF8E" w:rsidR="00385212" w:rsidRPr="00876C32" w:rsidRDefault="00385212" w:rsidP="00385212">
      <w:pPr>
        <w:pStyle w:val="BodyText"/>
        <w:spacing w:before="10"/>
        <w:ind w:left="0"/>
        <w:rPr>
          <w:b/>
          <w:bCs/>
          <w:szCs w:val="14"/>
        </w:rPr>
      </w:pPr>
      <w:r w:rsidRPr="00876C32">
        <w:rPr>
          <w:b/>
          <w:bCs/>
          <w:szCs w:val="14"/>
        </w:rPr>
        <w:t>Hosted By</w:t>
      </w:r>
    </w:p>
    <w:p w14:paraId="18EDF822" w14:textId="77777777" w:rsidR="00385212" w:rsidRPr="00E15144" w:rsidRDefault="00385212" w:rsidP="00385212">
      <w:pPr>
        <w:pStyle w:val="BodyText"/>
        <w:numPr>
          <w:ilvl w:val="0"/>
          <w:numId w:val="3"/>
        </w:numPr>
        <w:spacing w:before="10"/>
        <w:ind w:left="720"/>
        <w:rPr>
          <w:szCs w:val="14"/>
        </w:rPr>
      </w:pPr>
      <w:r w:rsidRPr="00E15144">
        <w:rPr>
          <w:szCs w:val="14"/>
        </w:rPr>
        <w:t>Greater Boston Chapter of ASSP</w:t>
      </w:r>
    </w:p>
    <w:p w14:paraId="3C2705E4" w14:textId="5A39450E" w:rsidR="00C7743F" w:rsidRPr="00E15144" w:rsidRDefault="00C7743F" w:rsidP="00385212">
      <w:pPr>
        <w:pStyle w:val="BodyText"/>
        <w:numPr>
          <w:ilvl w:val="0"/>
          <w:numId w:val="3"/>
        </w:numPr>
        <w:spacing w:before="10"/>
        <w:ind w:left="720"/>
        <w:rPr>
          <w:szCs w:val="14"/>
        </w:rPr>
      </w:pPr>
      <w:r w:rsidRPr="00E15144">
        <w:rPr>
          <w:szCs w:val="14"/>
        </w:rPr>
        <w:t>Ultragenyx (Woburn)</w:t>
      </w:r>
    </w:p>
    <w:p w14:paraId="639D60AE" w14:textId="77777777" w:rsidR="00385212" w:rsidRPr="00876C32" w:rsidRDefault="00C06E97" w:rsidP="00385212">
      <w:pPr>
        <w:pStyle w:val="BodyText"/>
        <w:spacing w:before="10"/>
        <w:ind w:left="0"/>
        <w:rPr>
          <w:bCs/>
          <w:szCs w:val="14"/>
        </w:rPr>
      </w:pPr>
      <w:r>
        <w:rPr>
          <w:bCs/>
          <w:szCs w:val="14"/>
        </w:rPr>
        <w:pict w14:anchorId="79D803BD">
          <v:rect id="_x0000_i1026" style="width:0;height:1.5pt" o:hralign="center" o:hrstd="t" o:hr="t" fillcolor="#a0a0a0" stroked="f"/>
        </w:pict>
      </w:r>
    </w:p>
    <w:p w14:paraId="2792E46E" w14:textId="77777777" w:rsidR="00385212" w:rsidRPr="00876C32" w:rsidRDefault="00385212" w:rsidP="00385212">
      <w:pPr>
        <w:pStyle w:val="BodyText"/>
        <w:spacing w:before="10"/>
        <w:ind w:left="0"/>
        <w:rPr>
          <w:b/>
          <w:bCs/>
          <w:szCs w:val="14"/>
        </w:rPr>
      </w:pPr>
      <w:r w:rsidRPr="00876C32">
        <w:rPr>
          <w:b/>
          <w:bCs/>
          <w:szCs w:val="14"/>
        </w:rPr>
        <w:t>Speakers</w:t>
      </w:r>
    </w:p>
    <w:p w14:paraId="36184DBF" w14:textId="77777777" w:rsidR="00FE367D" w:rsidRPr="00876C32" w:rsidRDefault="00FE367D" w:rsidP="00FE367D">
      <w:pPr>
        <w:pStyle w:val="BodyText"/>
        <w:spacing w:before="10"/>
        <w:ind w:left="0"/>
        <w:rPr>
          <w:b/>
          <w:bCs/>
          <w:szCs w:val="14"/>
        </w:rPr>
      </w:pPr>
      <w:r w:rsidRPr="00876C32">
        <w:rPr>
          <w:b/>
          <w:bCs/>
          <w:szCs w:val="14"/>
        </w:rPr>
        <w:t>Triumvirate Environmental</w:t>
      </w:r>
    </w:p>
    <w:p w14:paraId="7B77AA5B" w14:textId="77777777" w:rsidR="00FE367D" w:rsidRPr="00876C32" w:rsidRDefault="00FE367D" w:rsidP="00FE367D">
      <w:pPr>
        <w:pStyle w:val="BodyText"/>
        <w:spacing w:before="10"/>
        <w:ind w:left="0"/>
        <w:rPr>
          <w:b/>
          <w:bCs/>
          <w:szCs w:val="14"/>
        </w:rPr>
      </w:pPr>
      <w:r w:rsidRPr="00876C32">
        <w:rPr>
          <w:b/>
          <w:bCs/>
          <w:szCs w:val="14"/>
        </w:rPr>
        <w:t>Keith Savel – Lead Presenter</w:t>
      </w:r>
    </w:p>
    <w:p w14:paraId="55CCEAD7" w14:textId="0F418697" w:rsidR="00FE367D" w:rsidRPr="00876C32" w:rsidRDefault="00FE367D" w:rsidP="00FE367D">
      <w:pPr>
        <w:pStyle w:val="BodyText"/>
        <w:spacing w:before="10"/>
        <w:ind w:left="0"/>
      </w:pPr>
      <w:r w:rsidRPr="00876C32">
        <w:rPr>
          <w:b/>
          <w:bCs/>
          <w:szCs w:val="14"/>
        </w:rPr>
        <w:t>Additional Subject Matter Experts (TBD)</w:t>
      </w:r>
      <w:r w:rsidRPr="00876C32">
        <w:t xml:space="preserve"> </w:t>
      </w:r>
    </w:p>
    <w:p w14:paraId="6EF6241D" w14:textId="1C645461" w:rsidR="00385212" w:rsidRPr="00876C32" w:rsidRDefault="00C06E97" w:rsidP="008F0792">
      <w:pPr>
        <w:pStyle w:val="BodyText"/>
        <w:spacing w:before="10"/>
        <w:ind w:left="0"/>
        <w:rPr>
          <w:bCs/>
          <w:szCs w:val="14"/>
        </w:rPr>
      </w:pPr>
      <w:r>
        <w:rPr>
          <w:bCs/>
          <w:szCs w:val="14"/>
        </w:rPr>
        <w:pict w14:anchorId="6F146716">
          <v:rect id="_x0000_i1027" style="width:0;height:1.5pt" o:hralign="center" o:hrstd="t" o:hr="t" fillcolor="#a0a0a0" stroked="f"/>
        </w:pict>
      </w:r>
    </w:p>
    <w:p w14:paraId="73D46C6F" w14:textId="77777777" w:rsidR="00385212" w:rsidRPr="00876C32" w:rsidRDefault="00385212" w:rsidP="00385212">
      <w:pPr>
        <w:pStyle w:val="BodyText"/>
        <w:spacing w:before="10"/>
        <w:ind w:left="0"/>
        <w:rPr>
          <w:b/>
          <w:bCs/>
          <w:szCs w:val="14"/>
        </w:rPr>
      </w:pPr>
      <w:r w:rsidRPr="00876C32">
        <w:rPr>
          <w:b/>
          <w:bCs/>
          <w:szCs w:val="14"/>
        </w:rPr>
        <w:t>Session Description</w:t>
      </w:r>
    </w:p>
    <w:p w14:paraId="489C98CD" w14:textId="77777777" w:rsidR="00544CA5" w:rsidRPr="00876C32" w:rsidRDefault="00544CA5" w:rsidP="00544CA5">
      <w:pPr>
        <w:pStyle w:val="BodyText"/>
        <w:spacing w:before="10"/>
        <w:ind w:left="0"/>
        <w:rPr>
          <w:bCs/>
          <w:szCs w:val="14"/>
        </w:rPr>
      </w:pPr>
      <w:r w:rsidRPr="00876C32">
        <w:rPr>
          <w:bCs/>
          <w:szCs w:val="14"/>
        </w:rPr>
        <w:t>RCRA remains the backbone of hazardous waste management in the United States—but in today’s life sciences, advanced manufacturing, and R&amp;D environments, waste streams are becoming more complex, more ambiguous, and more high-risk.</w:t>
      </w:r>
    </w:p>
    <w:p w14:paraId="3A9ED95F" w14:textId="77777777" w:rsidR="00544CA5" w:rsidRPr="00876C32" w:rsidRDefault="00544CA5" w:rsidP="00544CA5">
      <w:pPr>
        <w:pStyle w:val="BodyText"/>
        <w:spacing w:before="10"/>
        <w:rPr>
          <w:bCs/>
          <w:szCs w:val="14"/>
        </w:rPr>
      </w:pPr>
    </w:p>
    <w:p w14:paraId="7B05F6BD" w14:textId="77777777" w:rsidR="00544CA5" w:rsidRPr="00876C32" w:rsidRDefault="00544CA5" w:rsidP="00544CA5">
      <w:pPr>
        <w:pStyle w:val="BodyText"/>
        <w:spacing w:before="10"/>
        <w:ind w:left="0"/>
        <w:rPr>
          <w:bCs/>
          <w:szCs w:val="14"/>
        </w:rPr>
      </w:pPr>
      <w:r w:rsidRPr="00876C32">
        <w:rPr>
          <w:bCs/>
          <w:szCs w:val="14"/>
        </w:rPr>
        <w:t>EHS leaders are increasingly facing scenarios where traditional RCRA decision logic collides with modern materials, new technologies, and high-consequence failure modes—including:</w:t>
      </w:r>
    </w:p>
    <w:p w14:paraId="2ED799B6" w14:textId="77777777" w:rsidR="00544CA5" w:rsidRPr="00876C32" w:rsidRDefault="00544CA5" w:rsidP="00544CA5">
      <w:pPr>
        <w:pStyle w:val="BodyText"/>
        <w:spacing w:before="10"/>
        <w:rPr>
          <w:bCs/>
          <w:szCs w:val="14"/>
        </w:rPr>
      </w:pPr>
    </w:p>
    <w:p w14:paraId="05AC82EC" w14:textId="431614F4" w:rsidR="00544CA5" w:rsidRPr="00876C32" w:rsidRDefault="00544CA5" w:rsidP="00747617">
      <w:pPr>
        <w:pStyle w:val="BodyText"/>
        <w:numPr>
          <w:ilvl w:val="0"/>
          <w:numId w:val="40"/>
        </w:numPr>
        <w:spacing w:before="10"/>
        <w:rPr>
          <w:bCs/>
          <w:szCs w:val="14"/>
        </w:rPr>
      </w:pPr>
      <w:r w:rsidRPr="00876C32">
        <w:rPr>
          <w:bCs/>
          <w:szCs w:val="14"/>
        </w:rPr>
        <w:t>Difficult-to-classify or mixed waste streams</w:t>
      </w:r>
    </w:p>
    <w:p w14:paraId="6F294982" w14:textId="63E11332" w:rsidR="00544CA5" w:rsidRPr="00876C32" w:rsidRDefault="00544CA5" w:rsidP="00747617">
      <w:pPr>
        <w:pStyle w:val="BodyText"/>
        <w:numPr>
          <w:ilvl w:val="0"/>
          <w:numId w:val="40"/>
        </w:numPr>
        <w:spacing w:before="10"/>
        <w:rPr>
          <w:bCs/>
          <w:szCs w:val="14"/>
        </w:rPr>
      </w:pPr>
      <w:r w:rsidRPr="00876C32">
        <w:rPr>
          <w:bCs/>
          <w:szCs w:val="14"/>
        </w:rPr>
        <w:t>High-energy materials and damaged equipment</w:t>
      </w:r>
    </w:p>
    <w:p w14:paraId="7E2873FC" w14:textId="33D2D899" w:rsidR="00544CA5" w:rsidRPr="00876C32" w:rsidRDefault="00544CA5" w:rsidP="00747617">
      <w:pPr>
        <w:pStyle w:val="BodyText"/>
        <w:numPr>
          <w:ilvl w:val="0"/>
          <w:numId w:val="40"/>
        </w:numPr>
        <w:spacing w:before="10"/>
        <w:rPr>
          <w:bCs/>
          <w:szCs w:val="14"/>
        </w:rPr>
      </w:pPr>
      <w:r w:rsidRPr="00876C32">
        <w:rPr>
          <w:bCs/>
          <w:szCs w:val="14"/>
        </w:rPr>
        <w:t>Fire, incident response, and secondary contamination scenarios</w:t>
      </w:r>
    </w:p>
    <w:p w14:paraId="70F68979" w14:textId="77777777" w:rsidR="00544CA5" w:rsidRPr="00876C32" w:rsidRDefault="00544CA5" w:rsidP="00747617">
      <w:pPr>
        <w:pStyle w:val="BodyText"/>
        <w:numPr>
          <w:ilvl w:val="0"/>
          <w:numId w:val="40"/>
        </w:numPr>
        <w:spacing w:before="10"/>
        <w:rPr>
          <w:bCs/>
          <w:szCs w:val="14"/>
        </w:rPr>
      </w:pPr>
      <w:r w:rsidRPr="00876C32">
        <w:rPr>
          <w:bCs/>
          <w:szCs w:val="14"/>
        </w:rPr>
        <w:t>Renovations, lab decommissions, and R&amp;D process changes</w:t>
      </w:r>
    </w:p>
    <w:p w14:paraId="08D288C7" w14:textId="74D2D841" w:rsidR="009551BD" w:rsidRPr="00876C32" w:rsidRDefault="004C10C7" w:rsidP="00747617">
      <w:pPr>
        <w:pStyle w:val="BodyText"/>
        <w:numPr>
          <w:ilvl w:val="0"/>
          <w:numId w:val="40"/>
        </w:numPr>
        <w:spacing w:before="10"/>
        <w:rPr>
          <w:bCs/>
          <w:szCs w:val="14"/>
        </w:rPr>
      </w:pPr>
      <w:r w:rsidRPr="00876C32">
        <w:rPr>
          <w:bCs/>
          <w:szCs w:val="14"/>
        </w:rPr>
        <w:t>Emerging high-risk waste streams such as PFAS-impacted materials and damaged or suspect lithium-ion batteries</w:t>
      </w:r>
    </w:p>
    <w:p w14:paraId="3D04DBC5" w14:textId="77777777" w:rsidR="00544CA5" w:rsidRPr="00876C32" w:rsidRDefault="00544CA5" w:rsidP="00544CA5">
      <w:pPr>
        <w:pStyle w:val="BodyText"/>
        <w:spacing w:before="10"/>
        <w:rPr>
          <w:bCs/>
          <w:szCs w:val="14"/>
        </w:rPr>
      </w:pPr>
    </w:p>
    <w:p w14:paraId="7E6FF54C" w14:textId="77777777" w:rsidR="00544CA5" w:rsidRPr="00876C32" w:rsidRDefault="00544CA5" w:rsidP="00544CA5">
      <w:pPr>
        <w:pStyle w:val="BodyText"/>
        <w:spacing w:before="10"/>
        <w:ind w:left="0"/>
        <w:rPr>
          <w:bCs/>
          <w:szCs w:val="14"/>
        </w:rPr>
      </w:pPr>
      <w:r w:rsidRPr="00876C32">
        <w:rPr>
          <w:bCs/>
          <w:szCs w:val="14"/>
        </w:rPr>
        <w:lastRenderedPageBreak/>
        <w:t>This session delivers a practical, real-world RCRA refresher and then pushes into where things break down in modern facilities—how to recognize risk early, how to make defensible waste decisions, and how to avoid regulatory, operational, and liability landmines.</w:t>
      </w:r>
    </w:p>
    <w:p w14:paraId="2822518F" w14:textId="77777777" w:rsidR="00544CA5" w:rsidRPr="00876C32" w:rsidRDefault="00544CA5" w:rsidP="00544CA5">
      <w:pPr>
        <w:pStyle w:val="BodyText"/>
        <w:spacing w:before="10"/>
        <w:rPr>
          <w:bCs/>
          <w:szCs w:val="14"/>
        </w:rPr>
      </w:pPr>
    </w:p>
    <w:p w14:paraId="47ED8FB1" w14:textId="77777777" w:rsidR="00544CA5" w:rsidRPr="00876C32" w:rsidRDefault="00544CA5" w:rsidP="00544CA5">
      <w:pPr>
        <w:pStyle w:val="BodyText"/>
        <w:spacing w:before="10"/>
        <w:ind w:left="0"/>
        <w:rPr>
          <w:bCs/>
          <w:szCs w:val="14"/>
        </w:rPr>
      </w:pPr>
      <w:r w:rsidRPr="00876C32">
        <w:rPr>
          <w:bCs/>
          <w:szCs w:val="14"/>
        </w:rPr>
        <w:t>This is not a theory class. It is built around real scenarios EHS professionals are facing right now.</w:t>
      </w:r>
    </w:p>
    <w:p w14:paraId="6B260C3D" w14:textId="79285F94" w:rsidR="00385212" w:rsidRPr="00876C32" w:rsidRDefault="00C06E97" w:rsidP="00426F00">
      <w:pPr>
        <w:pStyle w:val="BodyText"/>
        <w:spacing w:before="10"/>
        <w:ind w:left="0"/>
        <w:rPr>
          <w:bCs/>
          <w:szCs w:val="14"/>
        </w:rPr>
      </w:pPr>
      <w:r>
        <w:rPr>
          <w:bCs/>
          <w:szCs w:val="14"/>
        </w:rPr>
        <w:pict w14:anchorId="7CC3B9E3">
          <v:rect id="_x0000_i1028" style="width:0;height:1.5pt" o:hralign="center" o:hrstd="t" o:hr="t" fillcolor="#a0a0a0" stroked="f"/>
        </w:pict>
      </w:r>
    </w:p>
    <w:p w14:paraId="2DB07C9E" w14:textId="77777777" w:rsidR="00385212" w:rsidRPr="00876C32" w:rsidRDefault="00385212" w:rsidP="00385212">
      <w:pPr>
        <w:pStyle w:val="BodyText"/>
        <w:spacing w:before="10"/>
        <w:ind w:left="0"/>
        <w:rPr>
          <w:b/>
          <w:bCs/>
          <w:szCs w:val="14"/>
        </w:rPr>
      </w:pPr>
      <w:r w:rsidRPr="00876C32">
        <w:rPr>
          <w:b/>
          <w:bCs/>
          <w:szCs w:val="14"/>
        </w:rPr>
        <w:t>Learning Objectives (Bloom’s Taxonomy Aligned)</w:t>
      </w:r>
    </w:p>
    <w:p w14:paraId="66A987FF" w14:textId="77777777" w:rsidR="00385212" w:rsidRPr="00876C32" w:rsidRDefault="00385212" w:rsidP="00385212">
      <w:pPr>
        <w:pStyle w:val="BodyText"/>
        <w:spacing w:before="10"/>
        <w:ind w:left="0"/>
        <w:rPr>
          <w:bCs/>
          <w:szCs w:val="14"/>
        </w:rPr>
      </w:pPr>
      <w:r w:rsidRPr="00876C32">
        <w:rPr>
          <w:bCs/>
          <w:szCs w:val="14"/>
        </w:rPr>
        <w:t>By the end of this session, participants will be able to:</w:t>
      </w:r>
    </w:p>
    <w:p w14:paraId="10708CB8" w14:textId="77777777" w:rsidR="00A27E83" w:rsidRPr="00876C32" w:rsidRDefault="00A27E83" w:rsidP="00385212">
      <w:pPr>
        <w:pStyle w:val="BodyText"/>
        <w:spacing w:before="10"/>
        <w:ind w:left="0"/>
        <w:rPr>
          <w:bCs/>
          <w:szCs w:val="14"/>
        </w:rPr>
      </w:pPr>
    </w:p>
    <w:p w14:paraId="0C4E69C6" w14:textId="3C01CF35" w:rsidR="00A27E83" w:rsidRPr="00876C32" w:rsidRDefault="00A27E83" w:rsidP="00A27E83">
      <w:pPr>
        <w:pStyle w:val="BodyText"/>
        <w:numPr>
          <w:ilvl w:val="0"/>
          <w:numId w:val="33"/>
        </w:numPr>
        <w:spacing w:before="10"/>
        <w:rPr>
          <w:bCs/>
          <w:szCs w:val="14"/>
        </w:rPr>
      </w:pPr>
      <w:r w:rsidRPr="00876C32">
        <w:rPr>
          <w:b/>
          <w:bCs/>
          <w:szCs w:val="14"/>
        </w:rPr>
        <w:t>Remember / Understand</w:t>
      </w:r>
    </w:p>
    <w:p w14:paraId="63E0F2B0" w14:textId="718FE5E7" w:rsidR="00944811" w:rsidRPr="00876C32" w:rsidRDefault="00944811" w:rsidP="00944811">
      <w:pPr>
        <w:pStyle w:val="BodyText"/>
        <w:numPr>
          <w:ilvl w:val="0"/>
          <w:numId w:val="28"/>
        </w:numPr>
        <w:spacing w:before="10"/>
        <w:rPr>
          <w:bCs/>
          <w:szCs w:val="14"/>
        </w:rPr>
      </w:pPr>
      <w:r w:rsidRPr="00876C32">
        <w:rPr>
          <w:bCs/>
          <w:szCs w:val="14"/>
        </w:rPr>
        <w:t>Describe the core structure and intent of RCRA hazardous waste regulations.</w:t>
      </w:r>
    </w:p>
    <w:p w14:paraId="355AB663" w14:textId="77777777" w:rsidR="00944811" w:rsidRPr="00876C32" w:rsidRDefault="00944811" w:rsidP="00944811">
      <w:pPr>
        <w:pStyle w:val="BodyText"/>
        <w:numPr>
          <w:ilvl w:val="0"/>
          <w:numId w:val="28"/>
        </w:numPr>
        <w:spacing w:before="10"/>
        <w:rPr>
          <w:bCs/>
          <w:szCs w:val="14"/>
        </w:rPr>
      </w:pPr>
      <w:r w:rsidRPr="00876C32">
        <w:rPr>
          <w:bCs/>
          <w:szCs w:val="14"/>
        </w:rPr>
        <w:t>Explain how RCRA applies in complex life sciences, advanced manufacturing, and R&amp;D environments.</w:t>
      </w:r>
    </w:p>
    <w:p w14:paraId="66B8EE94" w14:textId="44480CB4" w:rsidR="00A27E83" w:rsidRPr="00876C32" w:rsidRDefault="00A27E83" w:rsidP="00A27E83">
      <w:pPr>
        <w:pStyle w:val="BodyText"/>
        <w:numPr>
          <w:ilvl w:val="0"/>
          <w:numId w:val="33"/>
        </w:numPr>
        <w:spacing w:before="10"/>
        <w:rPr>
          <w:bCs/>
          <w:szCs w:val="14"/>
        </w:rPr>
      </w:pPr>
      <w:r w:rsidRPr="00876C32">
        <w:rPr>
          <w:b/>
          <w:bCs/>
          <w:szCs w:val="14"/>
        </w:rPr>
        <w:t>Apply</w:t>
      </w:r>
    </w:p>
    <w:p w14:paraId="3AFAC446" w14:textId="2172DF13" w:rsidR="00290208" w:rsidRPr="00876C32" w:rsidRDefault="00290208" w:rsidP="00290208">
      <w:pPr>
        <w:pStyle w:val="BodyText"/>
        <w:numPr>
          <w:ilvl w:val="0"/>
          <w:numId w:val="29"/>
        </w:numPr>
        <w:spacing w:before="10"/>
        <w:rPr>
          <w:bCs/>
          <w:szCs w:val="14"/>
        </w:rPr>
      </w:pPr>
      <w:r w:rsidRPr="00876C32">
        <w:rPr>
          <w:bCs/>
          <w:szCs w:val="14"/>
        </w:rPr>
        <w:t>Apply RCRA waste determination logic to ambiguous or high-risk real-world scenarios.</w:t>
      </w:r>
    </w:p>
    <w:p w14:paraId="6E2ECE2E" w14:textId="23623C23" w:rsidR="00A27E83" w:rsidRPr="00876C32" w:rsidRDefault="00290208" w:rsidP="00290208">
      <w:pPr>
        <w:pStyle w:val="BodyText"/>
        <w:numPr>
          <w:ilvl w:val="0"/>
          <w:numId w:val="29"/>
        </w:numPr>
        <w:spacing w:before="10"/>
        <w:rPr>
          <w:bCs/>
          <w:szCs w:val="14"/>
        </w:rPr>
      </w:pPr>
      <w:r w:rsidRPr="00876C32">
        <w:rPr>
          <w:bCs/>
          <w:szCs w:val="14"/>
        </w:rPr>
        <w:t>Identify appropriate handling, storage, and disposal pathways for complex waste streams.</w:t>
      </w:r>
    </w:p>
    <w:p w14:paraId="14A8B1C6" w14:textId="2AD67711" w:rsidR="00A27E83" w:rsidRPr="00876C32" w:rsidRDefault="00A27E83" w:rsidP="00A27E83">
      <w:pPr>
        <w:pStyle w:val="BodyText"/>
        <w:numPr>
          <w:ilvl w:val="0"/>
          <w:numId w:val="33"/>
        </w:numPr>
        <w:spacing w:before="10"/>
        <w:rPr>
          <w:bCs/>
          <w:szCs w:val="14"/>
        </w:rPr>
      </w:pPr>
      <w:r w:rsidRPr="00876C32">
        <w:rPr>
          <w:b/>
          <w:bCs/>
          <w:szCs w:val="14"/>
        </w:rPr>
        <w:t>Analyze</w:t>
      </w:r>
    </w:p>
    <w:p w14:paraId="41D71047" w14:textId="31AECE45" w:rsidR="00AF6F20" w:rsidRPr="00876C32" w:rsidRDefault="00AF6F20" w:rsidP="00AF6F20">
      <w:pPr>
        <w:pStyle w:val="BodyText"/>
        <w:numPr>
          <w:ilvl w:val="0"/>
          <w:numId w:val="30"/>
        </w:numPr>
        <w:spacing w:before="10"/>
        <w:rPr>
          <w:bCs/>
          <w:szCs w:val="14"/>
        </w:rPr>
      </w:pPr>
      <w:r w:rsidRPr="00876C32">
        <w:rPr>
          <w:bCs/>
          <w:szCs w:val="14"/>
        </w:rPr>
        <w:t>Analyze failure modes in waste classification, storage, and disposal that create regulatory and liability exposure.</w:t>
      </w:r>
    </w:p>
    <w:p w14:paraId="26B8C489" w14:textId="0D857F29" w:rsidR="00A27E83" w:rsidRPr="00876C32" w:rsidRDefault="00AF6F20" w:rsidP="00AF6F20">
      <w:pPr>
        <w:pStyle w:val="BodyText"/>
        <w:numPr>
          <w:ilvl w:val="0"/>
          <w:numId w:val="30"/>
        </w:numPr>
        <w:spacing w:before="10"/>
        <w:rPr>
          <w:bCs/>
          <w:szCs w:val="14"/>
        </w:rPr>
      </w:pPr>
      <w:r w:rsidRPr="00876C32">
        <w:rPr>
          <w:bCs/>
          <w:szCs w:val="14"/>
        </w:rPr>
        <w:t>Differentiate between routine hazardous waste management and high-consequence waste scenarios.</w:t>
      </w:r>
    </w:p>
    <w:p w14:paraId="195879D0" w14:textId="77777777" w:rsidR="00A27E83" w:rsidRPr="00876C32" w:rsidRDefault="00A27E83" w:rsidP="00B64999">
      <w:pPr>
        <w:pStyle w:val="BodyText"/>
        <w:numPr>
          <w:ilvl w:val="0"/>
          <w:numId w:val="30"/>
        </w:numPr>
        <w:tabs>
          <w:tab w:val="num" w:pos="990"/>
        </w:tabs>
        <w:spacing w:before="10"/>
        <w:rPr>
          <w:bCs/>
          <w:szCs w:val="14"/>
        </w:rPr>
      </w:pPr>
      <w:r w:rsidRPr="00876C32">
        <w:rPr>
          <w:bCs/>
          <w:szCs w:val="14"/>
        </w:rPr>
        <w:t>Compare various sensor configurations and site deployment strategies</w:t>
      </w:r>
    </w:p>
    <w:p w14:paraId="7245E352" w14:textId="2E58BD57" w:rsidR="00A27E83" w:rsidRPr="00876C32" w:rsidRDefault="00A27E83" w:rsidP="00A27E83">
      <w:pPr>
        <w:pStyle w:val="BodyText"/>
        <w:numPr>
          <w:ilvl w:val="0"/>
          <w:numId w:val="33"/>
        </w:numPr>
        <w:spacing w:before="10"/>
        <w:rPr>
          <w:bCs/>
          <w:szCs w:val="14"/>
        </w:rPr>
      </w:pPr>
      <w:r w:rsidRPr="00876C32">
        <w:rPr>
          <w:b/>
          <w:bCs/>
          <w:szCs w:val="14"/>
        </w:rPr>
        <w:t>Evaluate</w:t>
      </w:r>
    </w:p>
    <w:p w14:paraId="573CB23B" w14:textId="2AF07398" w:rsidR="00207B51" w:rsidRPr="00876C32" w:rsidRDefault="00207B51" w:rsidP="00207B51">
      <w:pPr>
        <w:pStyle w:val="BodyText"/>
        <w:numPr>
          <w:ilvl w:val="0"/>
          <w:numId w:val="31"/>
        </w:numPr>
        <w:spacing w:before="10"/>
        <w:rPr>
          <w:bCs/>
          <w:szCs w:val="14"/>
        </w:rPr>
      </w:pPr>
      <w:r w:rsidRPr="00876C32">
        <w:rPr>
          <w:bCs/>
          <w:szCs w:val="14"/>
        </w:rPr>
        <w:t>Evaluate when conservative management, additional characterization, or escalation is warranted.</w:t>
      </w:r>
    </w:p>
    <w:p w14:paraId="757B57EB" w14:textId="77777777" w:rsidR="00207B51" w:rsidRPr="00876C32" w:rsidRDefault="00207B51" w:rsidP="00207B51">
      <w:pPr>
        <w:pStyle w:val="BodyText"/>
        <w:numPr>
          <w:ilvl w:val="0"/>
          <w:numId w:val="31"/>
        </w:numPr>
        <w:spacing w:before="10"/>
        <w:rPr>
          <w:bCs/>
          <w:szCs w:val="14"/>
        </w:rPr>
      </w:pPr>
      <w:r w:rsidRPr="00876C32">
        <w:rPr>
          <w:bCs/>
          <w:szCs w:val="14"/>
        </w:rPr>
        <w:t>Assess disposal strategies from both compliance and risk-management perspectives.</w:t>
      </w:r>
    </w:p>
    <w:p w14:paraId="7C45D8F9" w14:textId="20E96C21" w:rsidR="00A27E83" w:rsidRPr="00876C32" w:rsidRDefault="00A27E83" w:rsidP="00A27E83">
      <w:pPr>
        <w:pStyle w:val="BodyText"/>
        <w:numPr>
          <w:ilvl w:val="0"/>
          <w:numId w:val="33"/>
        </w:numPr>
        <w:spacing w:before="10"/>
        <w:rPr>
          <w:bCs/>
          <w:szCs w:val="14"/>
        </w:rPr>
      </w:pPr>
      <w:r w:rsidRPr="00876C32">
        <w:rPr>
          <w:b/>
          <w:bCs/>
          <w:szCs w:val="14"/>
        </w:rPr>
        <w:t>Create</w:t>
      </w:r>
    </w:p>
    <w:p w14:paraId="23A375C2" w14:textId="69049267" w:rsidR="00207B51" w:rsidRPr="00876C32" w:rsidRDefault="00207B51" w:rsidP="00207B51">
      <w:pPr>
        <w:pStyle w:val="BodyText"/>
        <w:numPr>
          <w:ilvl w:val="0"/>
          <w:numId w:val="32"/>
        </w:numPr>
        <w:spacing w:before="10"/>
        <w:rPr>
          <w:bCs/>
          <w:szCs w:val="14"/>
        </w:rPr>
      </w:pPr>
      <w:r w:rsidRPr="00876C32">
        <w:rPr>
          <w:bCs/>
          <w:szCs w:val="14"/>
        </w:rPr>
        <w:t>Develop a site-level decision framework for managing uncertain or high-risk waste streams.</w:t>
      </w:r>
    </w:p>
    <w:p w14:paraId="620B8DC6" w14:textId="77777777" w:rsidR="00207B51" w:rsidRPr="00876C32" w:rsidRDefault="00207B51" w:rsidP="00207B51">
      <w:pPr>
        <w:pStyle w:val="BodyText"/>
        <w:numPr>
          <w:ilvl w:val="0"/>
          <w:numId w:val="32"/>
        </w:numPr>
        <w:spacing w:before="10"/>
        <w:rPr>
          <w:bCs/>
          <w:szCs w:val="14"/>
        </w:rPr>
      </w:pPr>
      <w:r w:rsidRPr="00876C32">
        <w:rPr>
          <w:bCs/>
          <w:szCs w:val="14"/>
        </w:rPr>
        <w:t>Design a proactive waste risk management approach aligned with modern facility operations</w:t>
      </w:r>
    </w:p>
    <w:p w14:paraId="11E25387" w14:textId="77777777" w:rsidR="00385212" w:rsidRPr="00876C32" w:rsidRDefault="00C06E97" w:rsidP="00385212">
      <w:pPr>
        <w:pStyle w:val="BodyText"/>
        <w:spacing w:before="10"/>
        <w:ind w:left="0"/>
        <w:rPr>
          <w:bCs/>
          <w:szCs w:val="14"/>
        </w:rPr>
      </w:pPr>
      <w:r>
        <w:rPr>
          <w:bCs/>
          <w:szCs w:val="14"/>
        </w:rPr>
        <w:pict w14:anchorId="7BBF4640">
          <v:rect id="_x0000_i1029" style="width:0;height:1.5pt" o:hralign="center" o:hrstd="t" o:hr="t" fillcolor="#a0a0a0" stroked="f"/>
        </w:pict>
      </w:r>
    </w:p>
    <w:p w14:paraId="32AB29C0" w14:textId="15ABFA75" w:rsidR="00385212" w:rsidRPr="00876C32" w:rsidRDefault="00385212" w:rsidP="00385212">
      <w:pPr>
        <w:pStyle w:val="BodyText"/>
        <w:spacing w:before="10"/>
        <w:ind w:left="0"/>
        <w:rPr>
          <w:b/>
          <w:bCs/>
          <w:szCs w:val="14"/>
        </w:rPr>
      </w:pPr>
      <w:r w:rsidRPr="00876C32">
        <w:rPr>
          <w:b/>
          <w:bCs/>
          <w:szCs w:val="14"/>
        </w:rPr>
        <w:t>Draft Agenda (90-120 Minutes includes Q&amp;A)</w:t>
      </w:r>
    </w:p>
    <w:p w14:paraId="098ABC8F" w14:textId="77777777" w:rsidR="00D85CCA" w:rsidRPr="00876C32" w:rsidRDefault="00385212" w:rsidP="00D85CCA">
      <w:pPr>
        <w:pStyle w:val="BodyText"/>
        <w:spacing w:before="10"/>
        <w:ind w:left="0"/>
        <w:rPr>
          <w:b/>
          <w:bCs/>
          <w:szCs w:val="14"/>
        </w:rPr>
      </w:pPr>
      <w:r w:rsidRPr="00876C32">
        <w:rPr>
          <w:b/>
          <w:bCs/>
          <w:szCs w:val="14"/>
        </w:rPr>
        <w:t xml:space="preserve">1. </w:t>
      </w:r>
      <w:r w:rsidR="00D85CCA" w:rsidRPr="00876C32">
        <w:rPr>
          <w:b/>
          <w:bCs/>
          <w:szCs w:val="14"/>
        </w:rPr>
        <w:t>Welcome &amp; Introductions (10–15 min)</w:t>
      </w:r>
    </w:p>
    <w:p w14:paraId="2A705E5E" w14:textId="77777777" w:rsidR="00D85CCA" w:rsidRPr="00876C32" w:rsidRDefault="00D85CCA" w:rsidP="00D85CCA">
      <w:pPr>
        <w:pStyle w:val="BodyText"/>
        <w:numPr>
          <w:ilvl w:val="0"/>
          <w:numId w:val="34"/>
        </w:numPr>
        <w:spacing w:before="10"/>
        <w:rPr>
          <w:szCs w:val="14"/>
        </w:rPr>
      </w:pPr>
      <w:r w:rsidRPr="00876C32">
        <w:rPr>
          <w:szCs w:val="14"/>
        </w:rPr>
        <w:t>Welcome from ASSP Greater Boston Chapter Leadership</w:t>
      </w:r>
    </w:p>
    <w:p w14:paraId="33E0FA44" w14:textId="77777777" w:rsidR="00D85CCA" w:rsidRPr="00876C32" w:rsidRDefault="00D85CCA" w:rsidP="00D85CCA">
      <w:pPr>
        <w:pStyle w:val="BodyText"/>
        <w:numPr>
          <w:ilvl w:val="0"/>
          <w:numId w:val="34"/>
        </w:numPr>
        <w:spacing w:before="10"/>
        <w:rPr>
          <w:szCs w:val="14"/>
        </w:rPr>
      </w:pPr>
      <w:r w:rsidRPr="00876C32">
        <w:rPr>
          <w:szCs w:val="14"/>
        </w:rPr>
        <w:t>Introduction to Speakers and Technical Session Objectives</w:t>
      </w:r>
    </w:p>
    <w:p w14:paraId="28FB8FEA" w14:textId="336B0677" w:rsidR="00C933C1" w:rsidRPr="00876C32" w:rsidRDefault="00C933C1" w:rsidP="00D85CCA">
      <w:pPr>
        <w:pStyle w:val="BodyText"/>
        <w:numPr>
          <w:ilvl w:val="0"/>
          <w:numId w:val="34"/>
        </w:numPr>
        <w:spacing w:before="10"/>
        <w:rPr>
          <w:szCs w:val="14"/>
        </w:rPr>
      </w:pPr>
      <w:r w:rsidRPr="00876C32">
        <w:rPr>
          <w:szCs w:val="14"/>
        </w:rPr>
        <w:t>Purpose of the session and why this topic matters now</w:t>
      </w:r>
    </w:p>
    <w:p w14:paraId="3C6F68C8" w14:textId="58EDCC6E" w:rsidR="00385212" w:rsidRPr="00876C32" w:rsidRDefault="00C06E97" w:rsidP="00D85CCA">
      <w:pPr>
        <w:pStyle w:val="BodyText"/>
        <w:spacing w:before="10"/>
        <w:ind w:left="0"/>
        <w:rPr>
          <w:bCs/>
          <w:szCs w:val="14"/>
        </w:rPr>
      </w:pPr>
      <w:r>
        <w:rPr>
          <w:bCs/>
          <w:szCs w:val="14"/>
        </w:rPr>
        <w:pict w14:anchorId="73F71123">
          <v:rect id="_x0000_i1030" style="width:0;height:1.5pt" o:hralign="center" o:hrstd="t" o:hr="t" fillcolor="#a0a0a0" stroked="f"/>
        </w:pict>
      </w:r>
    </w:p>
    <w:p w14:paraId="3D6716BD" w14:textId="21D98662" w:rsidR="00D85CCA" w:rsidRPr="00876C32" w:rsidRDefault="00385212" w:rsidP="00D85CCA">
      <w:pPr>
        <w:pStyle w:val="BodyText"/>
        <w:spacing w:before="10"/>
        <w:ind w:left="0"/>
        <w:rPr>
          <w:b/>
          <w:bCs/>
          <w:szCs w:val="14"/>
        </w:rPr>
      </w:pPr>
      <w:r w:rsidRPr="00876C32">
        <w:rPr>
          <w:b/>
          <w:bCs/>
          <w:szCs w:val="14"/>
        </w:rPr>
        <w:t>2.</w:t>
      </w:r>
      <w:r w:rsidR="00274CB5" w:rsidRPr="00876C32">
        <w:t xml:space="preserve"> </w:t>
      </w:r>
      <w:r w:rsidR="00274CB5" w:rsidRPr="00876C32">
        <w:rPr>
          <w:b/>
          <w:bCs/>
          <w:szCs w:val="14"/>
        </w:rPr>
        <w:t>RCRA Refresher: The Framework Everyone Relies On (25 min)</w:t>
      </w:r>
    </w:p>
    <w:p w14:paraId="2DFE5500" w14:textId="77777777" w:rsidR="00331924" w:rsidRPr="00331924" w:rsidRDefault="00331924" w:rsidP="00331924">
      <w:pPr>
        <w:pStyle w:val="BodyText"/>
        <w:spacing w:before="10"/>
        <w:ind w:left="0"/>
        <w:rPr>
          <w:b/>
          <w:bCs/>
          <w:szCs w:val="14"/>
        </w:rPr>
      </w:pPr>
      <w:r w:rsidRPr="00331924">
        <w:rPr>
          <w:b/>
          <w:bCs/>
          <w:szCs w:val="14"/>
        </w:rPr>
        <w:t>Speaker: Triumvirate Environmental</w:t>
      </w:r>
    </w:p>
    <w:p w14:paraId="0137E6F6" w14:textId="54E527C3" w:rsidR="00331924" w:rsidRPr="00876C32" w:rsidRDefault="00331924" w:rsidP="00331924">
      <w:pPr>
        <w:pStyle w:val="BodyText"/>
        <w:numPr>
          <w:ilvl w:val="0"/>
          <w:numId w:val="41"/>
        </w:numPr>
        <w:spacing w:before="10"/>
        <w:rPr>
          <w:szCs w:val="14"/>
        </w:rPr>
      </w:pPr>
      <w:r w:rsidRPr="00876C32">
        <w:rPr>
          <w:szCs w:val="14"/>
        </w:rPr>
        <w:t>What RCRA is (and what it is not)</w:t>
      </w:r>
    </w:p>
    <w:p w14:paraId="2891150D" w14:textId="2F39C631" w:rsidR="00331924" w:rsidRPr="00876C32" w:rsidRDefault="00331924" w:rsidP="00331924">
      <w:pPr>
        <w:pStyle w:val="BodyText"/>
        <w:numPr>
          <w:ilvl w:val="0"/>
          <w:numId w:val="41"/>
        </w:numPr>
        <w:spacing w:before="10"/>
        <w:rPr>
          <w:szCs w:val="14"/>
        </w:rPr>
      </w:pPr>
      <w:r w:rsidRPr="00876C32">
        <w:rPr>
          <w:szCs w:val="14"/>
        </w:rPr>
        <w:t>Generator categories and responsibilities</w:t>
      </w:r>
    </w:p>
    <w:p w14:paraId="42FB8192" w14:textId="2D7EF1CD" w:rsidR="00331924" w:rsidRPr="00876C32" w:rsidRDefault="00331924" w:rsidP="00331924">
      <w:pPr>
        <w:pStyle w:val="BodyText"/>
        <w:numPr>
          <w:ilvl w:val="0"/>
          <w:numId w:val="41"/>
        </w:numPr>
        <w:spacing w:before="10"/>
        <w:rPr>
          <w:szCs w:val="14"/>
        </w:rPr>
      </w:pPr>
      <w:r w:rsidRPr="00876C32">
        <w:rPr>
          <w:szCs w:val="14"/>
        </w:rPr>
        <w:t>Waste determination and classification logic</w:t>
      </w:r>
    </w:p>
    <w:p w14:paraId="23E69B5C" w14:textId="777367C4" w:rsidR="00331924" w:rsidRPr="00876C32" w:rsidRDefault="00331924" w:rsidP="00331924">
      <w:pPr>
        <w:pStyle w:val="BodyText"/>
        <w:numPr>
          <w:ilvl w:val="0"/>
          <w:numId w:val="41"/>
        </w:numPr>
        <w:spacing w:before="10"/>
        <w:rPr>
          <w:szCs w:val="14"/>
        </w:rPr>
      </w:pPr>
      <w:r w:rsidRPr="00876C32">
        <w:rPr>
          <w:szCs w:val="14"/>
        </w:rPr>
        <w:t>Documentation, storage, and disposal fundamentals</w:t>
      </w:r>
    </w:p>
    <w:p w14:paraId="5215D34C" w14:textId="73ACDBC2" w:rsidR="00D85CCA" w:rsidRPr="00876C32" w:rsidRDefault="00331924" w:rsidP="00331924">
      <w:pPr>
        <w:pStyle w:val="BodyText"/>
        <w:numPr>
          <w:ilvl w:val="0"/>
          <w:numId w:val="41"/>
        </w:numPr>
        <w:spacing w:before="10"/>
        <w:rPr>
          <w:b/>
          <w:bCs/>
          <w:szCs w:val="14"/>
        </w:rPr>
      </w:pPr>
      <w:r w:rsidRPr="00876C32">
        <w:rPr>
          <w:szCs w:val="14"/>
        </w:rPr>
        <w:t>Common compliance breakdowns seen in modern facilities</w:t>
      </w:r>
    </w:p>
    <w:p w14:paraId="18386FC9" w14:textId="2A57FCCD" w:rsidR="00385212" w:rsidRPr="00876C32" w:rsidRDefault="00C06E97" w:rsidP="00D85CCA">
      <w:pPr>
        <w:pStyle w:val="BodyText"/>
        <w:spacing w:before="10"/>
        <w:ind w:left="0"/>
        <w:rPr>
          <w:bCs/>
          <w:szCs w:val="14"/>
        </w:rPr>
      </w:pPr>
      <w:r>
        <w:rPr>
          <w:bCs/>
          <w:szCs w:val="14"/>
        </w:rPr>
        <w:pict w14:anchorId="685970B6">
          <v:rect id="_x0000_i1031" style="width:0;height:1.5pt" o:hralign="center" o:hrstd="t" o:hr="t" fillcolor="#a0a0a0" stroked="f"/>
        </w:pict>
      </w:r>
    </w:p>
    <w:p w14:paraId="778A2040" w14:textId="245B4DD3" w:rsidR="00025A03" w:rsidRPr="00876C32" w:rsidRDefault="00385212" w:rsidP="00025A03">
      <w:pPr>
        <w:pStyle w:val="BodyText"/>
        <w:spacing w:before="10"/>
        <w:ind w:left="0"/>
        <w:rPr>
          <w:b/>
          <w:bCs/>
          <w:szCs w:val="14"/>
        </w:rPr>
      </w:pPr>
      <w:r w:rsidRPr="00876C32">
        <w:rPr>
          <w:b/>
          <w:bCs/>
          <w:szCs w:val="14"/>
        </w:rPr>
        <w:t xml:space="preserve">3. </w:t>
      </w:r>
      <w:r w:rsidR="00B02F91" w:rsidRPr="00876C32">
        <w:rPr>
          <w:b/>
          <w:bCs/>
          <w:szCs w:val="14"/>
        </w:rPr>
        <w:t>Where RCRA Gets Stress-Tested in Modern Facilities (20 min)</w:t>
      </w:r>
    </w:p>
    <w:p w14:paraId="546274B2" w14:textId="5872AC44" w:rsidR="00B02F91" w:rsidRPr="00876C32" w:rsidRDefault="00B02F91" w:rsidP="00025A03">
      <w:pPr>
        <w:pStyle w:val="BodyText"/>
        <w:spacing w:before="10"/>
        <w:ind w:left="0"/>
        <w:rPr>
          <w:b/>
          <w:bCs/>
          <w:szCs w:val="14"/>
        </w:rPr>
      </w:pPr>
      <w:r w:rsidRPr="00331924">
        <w:rPr>
          <w:b/>
          <w:bCs/>
          <w:szCs w:val="14"/>
        </w:rPr>
        <w:t>Speaker: Triumvirate Environmental</w:t>
      </w:r>
    </w:p>
    <w:p w14:paraId="710B8B40" w14:textId="47AF9983" w:rsidR="00B02F91" w:rsidRPr="00876C32" w:rsidRDefault="00B02F91" w:rsidP="00B02F91">
      <w:pPr>
        <w:pStyle w:val="BodyText"/>
        <w:numPr>
          <w:ilvl w:val="0"/>
          <w:numId w:val="36"/>
        </w:numPr>
        <w:spacing w:before="10"/>
        <w:rPr>
          <w:szCs w:val="14"/>
        </w:rPr>
      </w:pPr>
      <w:r w:rsidRPr="00876C32">
        <w:rPr>
          <w:szCs w:val="14"/>
        </w:rPr>
        <w:t>Renovations, lab cleanouts, and process changes</w:t>
      </w:r>
    </w:p>
    <w:p w14:paraId="49D96CF9" w14:textId="759E3CB8" w:rsidR="00B02F91" w:rsidRPr="00876C32" w:rsidRDefault="00B02F91" w:rsidP="00B02F91">
      <w:pPr>
        <w:pStyle w:val="BodyText"/>
        <w:numPr>
          <w:ilvl w:val="0"/>
          <w:numId w:val="36"/>
        </w:numPr>
        <w:spacing w:before="10"/>
        <w:rPr>
          <w:szCs w:val="14"/>
        </w:rPr>
      </w:pPr>
      <w:r w:rsidRPr="00876C32">
        <w:rPr>
          <w:szCs w:val="14"/>
        </w:rPr>
        <w:t>Mixed, legacy, and poorly documented materials</w:t>
      </w:r>
    </w:p>
    <w:p w14:paraId="03809D77" w14:textId="57BF7B62" w:rsidR="00B02F91" w:rsidRPr="00876C32" w:rsidRDefault="00B02F91" w:rsidP="00B02F91">
      <w:pPr>
        <w:pStyle w:val="BodyText"/>
        <w:numPr>
          <w:ilvl w:val="0"/>
          <w:numId w:val="36"/>
        </w:numPr>
        <w:spacing w:before="10"/>
        <w:rPr>
          <w:szCs w:val="14"/>
        </w:rPr>
      </w:pPr>
      <w:r w:rsidRPr="00876C32">
        <w:rPr>
          <w:szCs w:val="14"/>
        </w:rPr>
        <w:t>Incident response waste and secondary contamination</w:t>
      </w:r>
    </w:p>
    <w:p w14:paraId="624C8B22" w14:textId="7825979F" w:rsidR="00B02F91" w:rsidRPr="00876C32" w:rsidRDefault="00B02F91" w:rsidP="00B02F91">
      <w:pPr>
        <w:pStyle w:val="BodyText"/>
        <w:numPr>
          <w:ilvl w:val="0"/>
          <w:numId w:val="36"/>
        </w:numPr>
        <w:spacing w:before="10"/>
        <w:rPr>
          <w:szCs w:val="14"/>
        </w:rPr>
      </w:pPr>
      <w:r w:rsidRPr="00876C32">
        <w:rPr>
          <w:szCs w:val="14"/>
        </w:rPr>
        <w:t>When “routine” waste becomes high-risk</w:t>
      </w:r>
    </w:p>
    <w:p w14:paraId="69C8DE05" w14:textId="27140CE9" w:rsidR="00385212" w:rsidRPr="00876C32" w:rsidRDefault="00C06E97" w:rsidP="00025A03">
      <w:pPr>
        <w:pStyle w:val="BodyText"/>
        <w:spacing w:before="10"/>
        <w:ind w:left="0"/>
        <w:rPr>
          <w:bCs/>
          <w:szCs w:val="14"/>
        </w:rPr>
      </w:pPr>
      <w:r>
        <w:rPr>
          <w:bCs/>
          <w:szCs w:val="14"/>
        </w:rPr>
        <w:pict w14:anchorId="4A45DFD7">
          <v:rect id="_x0000_i1032" style="width:0;height:1.5pt" o:hralign="center" o:hrstd="t" o:hr="t" fillcolor="#a0a0a0" stroked="f"/>
        </w:pict>
      </w:r>
    </w:p>
    <w:p w14:paraId="0E3E4B37" w14:textId="52C5BEA7" w:rsidR="00025A03" w:rsidRPr="00876C32" w:rsidRDefault="00385212" w:rsidP="00025A03">
      <w:pPr>
        <w:pStyle w:val="BodyText"/>
        <w:spacing w:before="10"/>
        <w:ind w:left="0"/>
        <w:rPr>
          <w:b/>
          <w:bCs/>
          <w:szCs w:val="14"/>
        </w:rPr>
      </w:pPr>
      <w:r w:rsidRPr="00876C32">
        <w:rPr>
          <w:b/>
          <w:bCs/>
          <w:szCs w:val="14"/>
        </w:rPr>
        <w:t xml:space="preserve">4. </w:t>
      </w:r>
      <w:r w:rsidR="003F4AB3" w:rsidRPr="00876C32">
        <w:rPr>
          <w:b/>
          <w:bCs/>
          <w:szCs w:val="14"/>
        </w:rPr>
        <w:t>High-Risk &amp; High-Uncertainty Waste Scenarios (25 min)</w:t>
      </w:r>
    </w:p>
    <w:p w14:paraId="41B0178D" w14:textId="77777777" w:rsidR="003F4AB3" w:rsidRPr="00876C32" w:rsidRDefault="003F4AB3" w:rsidP="003F4AB3">
      <w:pPr>
        <w:pStyle w:val="BodyText"/>
        <w:spacing w:before="10"/>
        <w:ind w:left="0"/>
        <w:rPr>
          <w:b/>
          <w:bCs/>
          <w:szCs w:val="14"/>
        </w:rPr>
      </w:pPr>
      <w:r w:rsidRPr="00331924">
        <w:rPr>
          <w:b/>
          <w:bCs/>
          <w:szCs w:val="14"/>
        </w:rPr>
        <w:t>Speaker: Triumvirate Environmental</w:t>
      </w:r>
    </w:p>
    <w:p w14:paraId="1E9930AB" w14:textId="73080653" w:rsidR="008656ED" w:rsidRPr="00876C32" w:rsidRDefault="008656ED" w:rsidP="008656ED">
      <w:pPr>
        <w:pStyle w:val="BodyText"/>
        <w:numPr>
          <w:ilvl w:val="0"/>
          <w:numId w:val="37"/>
        </w:numPr>
        <w:spacing w:before="10"/>
        <w:rPr>
          <w:szCs w:val="14"/>
        </w:rPr>
      </w:pPr>
      <w:r w:rsidRPr="00876C32">
        <w:rPr>
          <w:szCs w:val="14"/>
        </w:rPr>
        <w:t>Damaged, unstable, or reactive materials</w:t>
      </w:r>
    </w:p>
    <w:p w14:paraId="0C044878" w14:textId="2AFDDB78" w:rsidR="00E84F70" w:rsidRPr="00876C32" w:rsidRDefault="00E84F70" w:rsidP="008656ED">
      <w:pPr>
        <w:pStyle w:val="BodyText"/>
        <w:numPr>
          <w:ilvl w:val="0"/>
          <w:numId w:val="37"/>
        </w:numPr>
        <w:spacing w:before="10"/>
        <w:rPr>
          <w:szCs w:val="14"/>
        </w:rPr>
      </w:pPr>
      <w:r w:rsidRPr="00876C32">
        <w:rPr>
          <w:szCs w:val="14"/>
        </w:rPr>
        <w:t xml:space="preserve">Examples may include </w:t>
      </w:r>
      <w:r w:rsidRPr="00876C32">
        <w:rPr>
          <w:b/>
          <w:bCs/>
          <w:szCs w:val="14"/>
        </w:rPr>
        <w:t>PFAS-impacted materials, damaged or suspect lithium-ion batteries</w:t>
      </w:r>
      <w:r w:rsidRPr="00876C32">
        <w:rPr>
          <w:szCs w:val="14"/>
        </w:rPr>
        <w:t>, and other complex waste streams</w:t>
      </w:r>
    </w:p>
    <w:p w14:paraId="177771FD" w14:textId="75A3254A" w:rsidR="008656ED" w:rsidRPr="00876C32" w:rsidRDefault="008656ED" w:rsidP="008656ED">
      <w:pPr>
        <w:pStyle w:val="BodyText"/>
        <w:numPr>
          <w:ilvl w:val="0"/>
          <w:numId w:val="37"/>
        </w:numPr>
        <w:spacing w:before="10"/>
        <w:rPr>
          <w:szCs w:val="14"/>
        </w:rPr>
      </w:pPr>
      <w:r w:rsidRPr="00876C32">
        <w:rPr>
          <w:szCs w:val="14"/>
        </w:rPr>
        <w:t>Energy storage, equipment failures, and post-incident waste</w:t>
      </w:r>
    </w:p>
    <w:p w14:paraId="6C90CC26" w14:textId="58888BAA" w:rsidR="008656ED" w:rsidRPr="00876C32" w:rsidRDefault="008656ED" w:rsidP="008656ED">
      <w:pPr>
        <w:pStyle w:val="BodyText"/>
        <w:numPr>
          <w:ilvl w:val="0"/>
          <w:numId w:val="37"/>
        </w:numPr>
        <w:spacing w:before="10"/>
        <w:rPr>
          <w:szCs w:val="14"/>
        </w:rPr>
      </w:pPr>
      <w:r w:rsidRPr="00876C32">
        <w:rPr>
          <w:szCs w:val="14"/>
        </w:rPr>
        <w:t>Storage, transport, and disposal risk decision-making</w:t>
      </w:r>
    </w:p>
    <w:p w14:paraId="2FA62436" w14:textId="77777777" w:rsidR="008656ED" w:rsidRPr="00876C32" w:rsidRDefault="008656ED" w:rsidP="008656ED">
      <w:pPr>
        <w:pStyle w:val="BodyText"/>
        <w:numPr>
          <w:ilvl w:val="0"/>
          <w:numId w:val="37"/>
        </w:numPr>
        <w:spacing w:before="10"/>
        <w:rPr>
          <w:szCs w:val="14"/>
        </w:rPr>
      </w:pPr>
      <w:r w:rsidRPr="00876C32">
        <w:rPr>
          <w:szCs w:val="14"/>
        </w:rPr>
        <w:t>Case examples from life sciences, manufacturing, and R&amp;D environments</w:t>
      </w:r>
    </w:p>
    <w:p w14:paraId="3FC1B7A7" w14:textId="231CD374" w:rsidR="00385212" w:rsidRPr="00876C32" w:rsidRDefault="00C06E97" w:rsidP="00025A03">
      <w:pPr>
        <w:pStyle w:val="BodyText"/>
        <w:spacing w:before="10"/>
        <w:ind w:left="0"/>
        <w:rPr>
          <w:bCs/>
          <w:szCs w:val="14"/>
        </w:rPr>
      </w:pPr>
      <w:r>
        <w:rPr>
          <w:bCs/>
          <w:szCs w:val="14"/>
        </w:rPr>
        <w:lastRenderedPageBreak/>
        <w:pict w14:anchorId="75A92041">
          <v:rect id="_x0000_i1033" style="width:0;height:1.5pt" o:hralign="center" o:hrstd="t" o:hr="t" fillcolor="#a0a0a0" stroked="f"/>
        </w:pict>
      </w:r>
    </w:p>
    <w:p w14:paraId="2CC9C211" w14:textId="77777777" w:rsidR="0079692E" w:rsidRPr="00876C32" w:rsidRDefault="00385212" w:rsidP="0079692E">
      <w:pPr>
        <w:pStyle w:val="BodyText"/>
        <w:spacing w:before="10"/>
        <w:ind w:left="0"/>
        <w:rPr>
          <w:b/>
          <w:bCs/>
          <w:szCs w:val="14"/>
        </w:rPr>
      </w:pPr>
      <w:r w:rsidRPr="00876C32">
        <w:rPr>
          <w:b/>
          <w:bCs/>
          <w:szCs w:val="14"/>
        </w:rPr>
        <w:t xml:space="preserve">5. </w:t>
      </w:r>
      <w:r w:rsidR="0079692E" w:rsidRPr="00876C32">
        <w:rPr>
          <w:b/>
          <w:bCs/>
          <w:szCs w:val="14"/>
        </w:rPr>
        <w:t>Building a Defensible Waste Decision Framework (20 min)</w:t>
      </w:r>
    </w:p>
    <w:p w14:paraId="0ABB065B" w14:textId="77777777" w:rsidR="00DA1B2F" w:rsidRPr="00876C32" w:rsidRDefault="00DA1B2F" w:rsidP="00DA1B2F">
      <w:pPr>
        <w:pStyle w:val="BodyText"/>
        <w:spacing w:before="10"/>
        <w:ind w:left="0"/>
        <w:rPr>
          <w:b/>
          <w:bCs/>
          <w:szCs w:val="14"/>
        </w:rPr>
      </w:pPr>
      <w:r w:rsidRPr="00876C32">
        <w:rPr>
          <w:b/>
          <w:bCs/>
          <w:szCs w:val="14"/>
        </w:rPr>
        <w:t>Speaker: Triumvirate + ASSP Moderator</w:t>
      </w:r>
    </w:p>
    <w:p w14:paraId="7E2543AC" w14:textId="77777777" w:rsidR="00E000B3" w:rsidRPr="00E000B3" w:rsidRDefault="00E000B3" w:rsidP="00E000B3">
      <w:pPr>
        <w:pStyle w:val="BodyText"/>
        <w:numPr>
          <w:ilvl w:val="0"/>
          <w:numId w:val="43"/>
        </w:numPr>
        <w:spacing w:before="10"/>
        <w:rPr>
          <w:szCs w:val="14"/>
        </w:rPr>
      </w:pPr>
      <w:r w:rsidRPr="00E000B3">
        <w:rPr>
          <w:szCs w:val="14"/>
        </w:rPr>
        <w:t>When to sample vs. when to manage conservatively</w:t>
      </w:r>
    </w:p>
    <w:p w14:paraId="76A21F42" w14:textId="77777777" w:rsidR="00E000B3" w:rsidRPr="00E000B3" w:rsidRDefault="00E000B3" w:rsidP="00E000B3">
      <w:pPr>
        <w:pStyle w:val="BodyText"/>
        <w:numPr>
          <w:ilvl w:val="0"/>
          <w:numId w:val="43"/>
        </w:numPr>
        <w:spacing w:before="10"/>
        <w:rPr>
          <w:szCs w:val="14"/>
        </w:rPr>
      </w:pPr>
      <w:r w:rsidRPr="00E000B3">
        <w:rPr>
          <w:szCs w:val="14"/>
        </w:rPr>
        <w:t>Escalation triggers and decision trees</w:t>
      </w:r>
    </w:p>
    <w:p w14:paraId="449617E5" w14:textId="77777777" w:rsidR="00E000B3" w:rsidRPr="00E000B3" w:rsidRDefault="00E000B3" w:rsidP="00E000B3">
      <w:pPr>
        <w:pStyle w:val="BodyText"/>
        <w:numPr>
          <w:ilvl w:val="0"/>
          <w:numId w:val="43"/>
        </w:numPr>
        <w:spacing w:before="10"/>
        <w:rPr>
          <w:szCs w:val="14"/>
        </w:rPr>
      </w:pPr>
      <w:r w:rsidRPr="00E000B3">
        <w:rPr>
          <w:szCs w:val="14"/>
        </w:rPr>
        <w:t>Contractor oversight and chain-of-custody risk</w:t>
      </w:r>
    </w:p>
    <w:p w14:paraId="4D1F7BD7" w14:textId="77777777" w:rsidR="00E000B3" w:rsidRPr="00E000B3" w:rsidRDefault="00E000B3" w:rsidP="00E000B3">
      <w:pPr>
        <w:pStyle w:val="BodyText"/>
        <w:numPr>
          <w:ilvl w:val="0"/>
          <w:numId w:val="43"/>
        </w:numPr>
        <w:spacing w:before="10"/>
        <w:rPr>
          <w:szCs w:val="14"/>
        </w:rPr>
      </w:pPr>
      <w:r w:rsidRPr="00E000B3">
        <w:rPr>
          <w:szCs w:val="14"/>
        </w:rPr>
        <w:t>Integrating waste risk into EHS management systems</w:t>
      </w:r>
    </w:p>
    <w:p w14:paraId="3703E138" w14:textId="2C894F6C" w:rsidR="00385212" w:rsidRPr="00876C32" w:rsidRDefault="00C06E97" w:rsidP="00025A03">
      <w:pPr>
        <w:pStyle w:val="BodyText"/>
        <w:spacing w:before="10"/>
        <w:ind w:left="0"/>
        <w:rPr>
          <w:bCs/>
          <w:szCs w:val="14"/>
        </w:rPr>
      </w:pPr>
      <w:r>
        <w:rPr>
          <w:bCs/>
          <w:szCs w:val="14"/>
        </w:rPr>
        <w:pict w14:anchorId="7447660E">
          <v:rect id="_x0000_i1034" style="width:0;height:1.5pt" o:hralign="center" o:hrstd="t" o:hr="t" fillcolor="#a0a0a0" stroked="f"/>
        </w:pict>
      </w:r>
    </w:p>
    <w:p w14:paraId="2BC32D7F" w14:textId="77777777" w:rsidR="00B425ED" w:rsidRPr="00876C32" w:rsidRDefault="00385212" w:rsidP="00B425ED">
      <w:pPr>
        <w:pStyle w:val="BodyText"/>
        <w:spacing w:before="10"/>
        <w:ind w:left="0"/>
        <w:rPr>
          <w:b/>
          <w:bCs/>
          <w:szCs w:val="14"/>
        </w:rPr>
      </w:pPr>
      <w:r w:rsidRPr="00876C32">
        <w:rPr>
          <w:b/>
          <w:bCs/>
          <w:szCs w:val="14"/>
        </w:rPr>
        <w:t xml:space="preserve">6. </w:t>
      </w:r>
      <w:r w:rsidR="00B425ED" w:rsidRPr="00876C32">
        <w:rPr>
          <w:b/>
          <w:bCs/>
          <w:szCs w:val="14"/>
        </w:rPr>
        <w:t>Interactive Q&amp;A and Group Discussion (10–15 min)</w:t>
      </w:r>
    </w:p>
    <w:p w14:paraId="7947D0C4" w14:textId="77777777" w:rsidR="00876C32" w:rsidRPr="00876C32" w:rsidRDefault="00876C32" w:rsidP="00876C32">
      <w:pPr>
        <w:pStyle w:val="BodyText"/>
        <w:numPr>
          <w:ilvl w:val="0"/>
          <w:numId w:val="44"/>
        </w:numPr>
        <w:spacing w:before="10"/>
        <w:rPr>
          <w:szCs w:val="14"/>
        </w:rPr>
      </w:pPr>
      <w:r w:rsidRPr="00876C32">
        <w:rPr>
          <w:szCs w:val="14"/>
        </w:rPr>
        <w:t>Open discussion with attendees</w:t>
      </w:r>
    </w:p>
    <w:p w14:paraId="482800B7" w14:textId="2F797288" w:rsidR="00385212" w:rsidRPr="00876C32" w:rsidRDefault="00876C32" w:rsidP="00876C32">
      <w:pPr>
        <w:pStyle w:val="BodyText"/>
        <w:numPr>
          <w:ilvl w:val="0"/>
          <w:numId w:val="44"/>
        </w:numPr>
        <w:spacing w:before="10"/>
        <w:rPr>
          <w:bCs/>
          <w:szCs w:val="14"/>
        </w:rPr>
      </w:pPr>
      <w:r w:rsidRPr="00876C32">
        <w:rPr>
          <w:szCs w:val="14"/>
        </w:rPr>
        <w:t>Audience scenarios and questions</w:t>
      </w:r>
      <w:r w:rsidR="00C06E97">
        <w:rPr>
          <w:bCs/>
          <w:szCs w:val="14"/>
        </w:rPr>
        <w:pict w14:anchorId="72231E72">
          <v:rect id="_x0000_i1035" style="width:0;height:1.5pt" o:hralign="center" o:hrstd="t" o:hr="t" fillcolor="#a0a0a0" stroked="f"/>
        </w:pict>
      </w:r>
    </w:p>
    <w:p w14:paraId="4FE56590" w14:textId="740D2584" w:rsidR="00385212" w:rsidRPr="00876C32" w:rsidRDefault="00385212" w:rsidP="00A64F32">
      <w:pPr>
        <w:pStyle w:val="BodyText"/>
        <w:spacing w:before="10"/>
        <w:ind w:left="0"/>
        <w:rPr>
          <w:b/>
          <w:bCs/>
          <w:szCs w:val="14"/>
        </w:rPr>
      </w:pPr>
      <w:r w:rsidRPr="00876C32">
        <w:rPr>
          <w:b/>
          <w:bCs/>
          <w:szCs w:val="14"/>
        </w:rPr>
        <w:t xml:space="preserve">7. </w:t>
      </w:r>
      <w:r w:rsidR="00BF741B" w:rsidRPr="00876C32">
        <w:rPr>
          <w:b/>
          <w:bCs/>
          <w:szCs w:val="14"/>
        </w:rPr>
        <w:t>Closing Remarks &amp;</w:t>
      </w:r>
      <w:r w:rsidR="00787476">
        <w:rPr>
          <w:b/>
          <w:bCs/>
          <w:szCs w:val="14"/>
        </w:rPr>
        <w:t xml:space="preserve"> Depart for</w:t>
      </w:r>
      <w:r w:rsidR="00BF741B" w:rsidRPr="00876C32">
        <w:rPr>
          <w:b/>
          <w:bCs/>
          <w:szCs w:val="14"/>
        </w:rPr>
        <w:t xml:space="preserve"> </w:t>
      </w:r>
      <w:r w:rsidR="00787476">
        <w:rPr>
          <w:b/>
          <w:bCs/>
          <w:szCs w:val="14"/>
        </w:rPr>
        <w:t xml:space="preserve">Social </w:t>
      </w:r>
      <w:r w:rsidR="00BF741B" w:rsidRPr="00876C32">
        <w:rPr>
          <w:b/>
          <w:bCs/>
          <w:szCs w:val="14"/>
        </w:rPr>
        <w:t>Networking</w:t>
      </w:r>
      <w:r w:rsidR="00787476">
        <w:rPr>
          <w:b/>
          <w:bCs/>
          <w:szCs w:val="14"/>
        </w:rPr>
        <w:t xml:space="preserve"> Event</w:t>
      </w:r>
      <w:r w:rsidR="00BF741B" w:rsidRPr="00876C32">
        <w:rPr>
          <w:b/>
          <w:bCs/>
          <w:szCs w:val="14"/>
        </w:rPr>
        <w:t xml:space="preserve"> (15 min)</w:t>
      </w:r>
    </w:p>
    <w:p w14:paraId="72818AE8" w14:textId="77777777" w:rsidR="00BF741B" w:rsidRPr="00876C32" w:rsidRDefault="00BF741B" w:rsidP="00BF741B">
      <w:pPr>
        <w:pStyle w:val="BodyText"/>
        <w:numPr>
          <w:ilvl w:val="0"/>
          <w:numId w:val="26"/>
        </w:numPr>
        <w:spacing w:before="10"/>
        <w:rPr>
          <w:bCs/>
          <w:szCs w:val="14"/>
        </w:rPr>
      </w:pPr>
      <w:r w:rsidRPr="00876C32">
        <w:rPr>
          <w:bCs/>
          <w:szCs w:val="14"/>
        </w:rPr>
        <w:t>Key takeaways</w:t>
      </w:r>
    </w:p>
    <w:p w14:paraId="6EBADA0B" w14:textId="77777777" w:rsidR="00BF741B" w:rsidRDefault="00BF741B" w:rsidP="00BF741B">
      <w:pPr>
        <w:pStyle w:val="BodyText"/>
        <w:numPr>
          <w:ilvl w:val="0"/>
          <w:numId w:val="26"/>
        </w:numPr>
        <w:spacing w:before="10"/>
        <w:rPr>
          <w:bCs/>
          <w:szCs w:val="14"/>
        </w:rPr>
      </w:pPr>
      <w:r w:rsidRPr="00876C32">
        <w:rPr>
          <w:bCs/>
          <w:szCs w:val="14"/>
        </w:rPr>
        <w:t>Upcoming ASSP Greater Boston Chapter events</w:t>
      </w:r>
    </w:p>
    <w:p w14:paraId="69912502" w14:textId="494DCA60" w:rsidR="00B0479B" w:rsidRPr="00876C32" w:rsidRDefault="00B0479B" w:rsidP="00BF741B">
      <w:pPr>
        <w:pStyle w:val="BodyText"/>
        <w:numPr>
          <w:ilvl w:val="0"/>
          <w:numId w:val="26"/>
        </w:numPr>
        <w:spacing w:before="10"/>
        <w:rPr>
          <w:bCs/>
          <w:szCs w:val="14"/>
        </w:rPr>
      </w:pPr>
      <w:r>
        <w:rPr>
          <w:bCs/>
          <w:szCs w:val="14"/>
        </w:rPr>
        <w:t>CEU instructions</w:t>
      </w:r>
    </w:p>
    <w:p w14:paraId="2E76139D" w14:textId="433BE426" w:rsidR="00385212" w:rsidRPr="00876C32" w:rsidRDefault="00787476" w:rsidP="00BF741B">
      <w:pPr>
        <w:pStyle w:val="BodyText"/>
        <w:numPr>
          <w:ilvl w:val="0"/>
          <w:numId w:val="25"/>
        </w:numPr>
        <w:spacing w:before="10"/>
        <w:rPr>
          <w:bCs/>
          <w:szCs w:val="14"/>
        </w:rPr>
      </w:pPr>
      <w:r>
        <w:rPr>
          <w:bCs/>
          <w:szCs w:val="14"/>
        </w:rPr>
        <w:t xml:space="preserve">Depart for </w:t>
      </w:r>
      <w:r w:rsidR="00BF741B" w:rsidRPr="00876C32">
        <w:rPr>
          <w:bCs/>
          <w:szCs w:val="14"/>
        </w:rPr>
        <w:t xml:space="preserve">Post-meeting networking </w:t>
      </w:r>
      <w:r w:rsidR="00C06E97">
        <w:rPr>
          <w:bCs/>
          <w:szCs w:val="14"/>
        </w:rPr>
        <w:pict w14:anchorId="4853E2E4">
          <v:rect id="_x0000_i1036" style="width:0;height:1.5pt" o:hralign="center" o:hrstd="t" o:hr="t" fillcolor="#a0a0a0" stroked="f"/>
        </w:pict>
      </w:r>
    </w:p>
    <w:p w14:paraId="02DB40C3" w14:textId="77777777" w:rsidR="00385212" w:rsidRPr="00876C32" w:rsidRDefault="00385212" w:rsidP="00AE793C">
      <w:pPr>
        <w:pStyle w:val="BodyText"/>
        <w:spacing w:before="10"/>
        <w:ind w:left="0"/>
        <w:rPr>
          <w:b/>
          <w:bCs/>
          <w:szCs w:val="14"/>
        </w:rPr>
      </w:pPr>
      <w:r w:rsidRPr="00876C32">
        <w:rPr>
          <w:b/>
          <w:bCs/>
          <w:szCs w:val="14"/>
        </w:rPr>
        <w:t>Key Takeaways for Attendees</w:t>
      </w:r>
    </w:p>
    <w:p w14:paraId="202D5CF4" w14:textId="1A9A6895" w:rsidR="00B0479B" w:rsidRPr="00B0479B" w:rsidRDefault="00B0479B" w:rsidP="00B0479B">
      <w:pPr>
        <w:pStyle w:val="BodyText"/>
        <w:numPr>
          <w:ilvl w:val="0"/>
          <w:numId w:val="25"/>
        </w:numPr>
        <w:spacing w:before="10"/>
        <w:rPr>
          <w:szCs w:val="14"/>
        </w:rPr>
      </w:pPr>
      <w:r w:rsidRPr="00B0479B">
        <w:rPr>
          <w:szCs w:val="14"/>
        </w:rPr>
        <w:t>Stronger command of RCRA in complex environments</w:t>
      </w:r>
    </w:p>
    <w:p w14:paraId="322D8E56" w14:textId="0C6FFDD8" w:rsidR="00B0479B" w:rsidRPr="00B0479B" w:rsidRDefault="00B0479B" w:rsidP="00B0479B">
      <w:pPr>
        <w:pStyle w:val="BodyText"/>
        <w:numPr>
          <w:ilvl w:val="0"/>
          <w:numId w:val="25"/>
        </w:numPr>
        <w:spacing w:before="10"/>
        <w:rPr>
          <w:szCs w:val="14"/>
        </w:rPr>
      </w:pPr>
      <w:r w:rsidRPr="00B0479B">
        <w:rPr>
          <w:szCs w:val="14"/>
        </w:rPr>
        <w:t>Better judgment in ambiguous or high-risk waste scenarios</w:t>
      </w:r>
    </w:p>
    <w:p w14:paraId="3E2948C7" w14:textId="37116C0C" w:rsidR="00B0479B" w:rsidRPr="00B0479B" w:rsidRDefault="00B0479B" w:rsidP="00B0479B">
      <w:pPr>
        <w:pStyle w:val="BodyText"/>
        <w:numPr>
          <w:ilvl w:val="0"/>
          <w:numId w:val="25"/>
        </w:numPr>
        <w:spacing w:before="10"/>
        <w:rPr>
          <w:szCs w:val="14"/>
        </w:rPr>
      </w:pPr>
      <w:r w:rsidRPr="00B0479B">
        <w:rPr>
          <w:szCs w:val="14"/>
        </w:rPr>
        <w:t>Reduced regulatory and liability exposure</w:t>
      </w:r>
    </w:p>
    <w:p w14:paraId="11AFCDF8" w14:textId="50D9C838" w:rsidR="00B64999" w:rsidRPr="00876C32" w:rsidRDefault="00B0479B" w:rsidP="00B0479B">
      <w:pPr>
        <w:pStyle w:val="BodyText"/>
        <w:numPr>
          <w:ilvl w:val="0"/>
          <w:numId w:val="25"/>
        </w:numPr>
        <w:spacing w:before="10"/>
        <w:rPr>
          <w:b/>
          <w:bCs/>
          <w:szCs w:val="14"/>
        </w:rPr>
      </w:pPr>
      <w:r w:rsidRPr="00B0479B">
        <w:rPr>
          <w:szCs w:val="14"/>
        </w:rPr>
        <w:t>Practical tools for decision-making under uncertainty</w:t>
      </w:r>
    </w:p>
    <w:p w14:paraId="25E427B4" w14:textId="77777777" w:rsidR="00385212" w:rsidRPr="00876C32" w:rsidRDefault="00C06E97" w:rsidP="00AE793C">
      <w:pPr>
        <w:pStyle w:val="BodyText"/>
        <w:spacing w:before="10"/>
        <w:ind w:left="0"/>
        <w:rPr>
          <w:bCs/>
          <w:szCs w:val="14"/>
        </w:rPr>
      </w:pPr>
      <w:r>
        <w:rPr>
          <w:bCs/>
          <w:szCs w:val="14"/>
        </w:rPr>
        <w:pict w14:anchorId="553418D2">
          <v:rect id="_x0000_i1037" style="width:0;height:1.5pt" o:hralign="center" o:hrstd="t" o:hr="t" fillcolor="#a0a0a0" stroked="f"/>
        </w:pict>
      </w:r>
    </w:p>
    <w:p w14:paraId="3CD3ECB2" w14:textId="77777777" w:rsidR="00385212" w:rsidRPr="00876C32" w:rsidRDefault="00385212" w:rsidP="00AE793C">
      <w:pPr>
        <w:pStyle w:val="BodyText"/>
        <w:spacing w:before="10"/>
        <w:ind w:left="0"/>
        <w:rPr>
          <w:b/>
          <w:bCs/>
          <w:szCs w:val="14"/>
        </w:rPr>
      </w:pPr>
      <w:r w:rsidRPr="00876C32">
        <w:rPr>
          <w:b/>
          <w:bCs/>
          <w:szCs w:val="14"/>
        </w:rPr>
        <w:t>Logistics (To Be Finalized)</w:t>
      </w:r>
    </w:p>
    <w:p w14:paraId="4C63EB7D" w14:textId="2BA61B8E" w:rsidR="00BF171E" w:rsidRPr="00BF171E" w:rsidRDefault="00BF171E" w:rsidP="00BF171E">
      <w:pPr>
        <w:pStyle w:val="BodyText"/>
        <w:numPr>
          <w:ilvl w:val="0"/>
          <w:numId w:val="17"/>
        </w:numPr>
        <w:spacing w:before="10"/>
        <w:rPr>
          <w:b/>
          <w:bCs/>
          <w:szCs w:val="14"/>
        </w:rPr>
      </w:pPr>
      <w:r w:rsidRPr="00BF171E">
        <w:rPr>
          <w:b/>
          <w:bCs/>
          <w:szCs w:val="14"/>
        </w:rPr>
        <w:t xml:space="preserve">Venue: </w:t>
      </w:r>
      <w:r w:rsidRPr="00BF171E">
        <w:rPr>
          <w:szCs w:val="14"/>
        </w:rPr>
        <w:t>Ultragenyx – Woburn, MA</w:t>
      </w:r>
    </w:p>
    <w:p w14:paraId="3BFE91A2" w14:textId="59D75848" w:rsidR="00BF171E" w:rsidRPr="00BF171E" w:rsidRDefault="00BF171E" w:rsidP="00BF171E">
      <w:pPr>
        <w:pStyle w:val="BodyText"/>
        <w:numPr>
          <w:ilvl w:val="0"/>
          <w:numId w:val="17"/>
        </w:numPr>
        <w:spacing w:before="10"/>
        <w:rPr>
          <w:szCs w:val="14"/>
        </w:rPr>
      </w:pPr>
      <w:r w:rsidRPr="00BF171E">
        <w:rPr>
          <w:b/>
          <w:bCs/>
          <w:szCs w:val="14"/>
        </w:rPr>
        <w:t xml:space="preserve">Registration: </w:t>
      </w:r>
      <w:r w:rsidRPr="00BF171E">
        <w:rPr>
          <w:szCs w:val="14"/>
        </w:rPr>
        <w:t>ASSP Greater Boston Chapter (Eventbrite)</w:t>
      </w:r>
    </w:p>
    <w:p w14:paraId="372B1BA2" w14:textId="737B8DBF" w:rsidR="00BF171E" w:rsidRPr="00BF171E" w:rsidRDefault="00BF171E" w:rsidP="00BF171E">
      <w:pPr>
        <w:pStyle w:val="BodyText"/>
        <w:numPr>
          <w:ilvl w:val="0"/>
          <w:numId w:val="17"/>
        </w:numPr>
        <w:spacing w:before="10"/>
        <w:rPr>
          <w:szCs w:val="14"/>
        </w:rPr>
      </w:pPr>
      <w:r w:rsidRPr="00BF171E">
        <w:rPr>
          <w:b/>
          <w:bCs/>
          <w:szCs w:val="14"/>
        </w:rPr>
        <w:t xml:space="preserve">Sponsorship Opportunities: </w:t>
      </w:r>
      <w:r w:rsidRPr="00BF171E">
        <w:rPr>
          <w:szCs w:val="14"/>
        </w:rPr>
        <w:t>Available</w:t>
      </w:r>
    </w:p>
    <w:p w14:paraId="0943D47C" w14:textId="42D39CAE" w:rsidR="00385212" w:rsidRPr="00BF171E" w:rsidRDefault="00BF171E" w:rsidP="00BF171E">
      <w:pPr>
        <w:pStyle w:val="BodyText"/>
        <w:numPr>
          <w:ilvl w:val="0"/>
          <w:numId w:val="17"/>
        </w:numPr>
        <w:spacing w:before="10"/>
        <w:rPr>
          <w:szCs w:val="14"/>
        </w:rPr>
      </w:pPr>
      <w:r w:rsidRPr="00BF171E">
        <w:rPr>
          <w:b/>
          <w:bCs/>
          <w:szCs w:val="14"/>
        </w:rPr>
        <w:t xml:space="preserve">Post-Meeting Networking: </w:t>
      </w:r>
      <w:r w:rsidRPr="00BF171E">
        <w:rPr>
          <w:szCs w:val="14"/>
        </w:rPr>
        <w:t>Tavern on the Square Woburn TBD</w:t>
      </w:r>
    </w:p>
    <w:sectPr w:rsidR="00385212" w:rsidRPr="00BF171E" w:rsidSect="00B64999">
      <w:footerReference w:type="default" r:id="rId8"/>
      <w:type w:val="continuous"/>
      <w:pgSz w:w="12240" w:h="15840"/>
      <w:pgMar w:top="630" w:right="11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7275" w14:textId="77777777" w:rsidR="002A05E5" w:rsidRPr="00876C32" w:rsidRDefault="002A05E5" w:rsidP="006A48E3">
      <w:r w:rsidRPr="00876C32">
        <w:separator/>
      </w:r>
    </w:p>
  </w:endnote>
  <w:endnote w:type="continuationSeparator" w:id="0">
    <w:p w14:paraId="10F6D828" w14:textId="77777777" w:rsidR="002A05E5" w:rsidRPr="00876C32" w:rsidRDefault="002A05E5" w:rsidP="006A48E3">
      <w:r w:rsidRPr="00876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6F1D" w14:textId="3FB246AE" w:rsidR="006A48E3" w:rsidRPr="00876C32" w:rsidRDefault="00E875D0">
    <w:pPr>
      <w:pStyle w:val="Footer"/>
    </w:pPr>
    <w:r w:rsidRPr="00876C32">
      <w:rPr>
        <w:noProof/>
      </w:rPr>
      <mc:AlternateContent>
        <mc:Choice Requires="wpg">
          <w:drawing>
            <wp:anchor distT="0" distB="0" distL="114300" distR="114300" simplePos="0" relativeHeight="251659264" behindDoc="0" locked="0" layoutInCell="1" allowOverlap="1" wp14:anchorId="354E5FC5" wp14:editId="1ABCEB40">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BA553" w14:textId="574138C4" w:rsidR="00E875D0" w:rsidRPr="00876C32" w:rsidRDefault="00E875D0" w:rsidP="00E875D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54E5FC5"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gEYg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F6BA553" w14:textId="574138C4" w:rsidR="00E875D0" w:rsidRPr="00876C32" w:rsidRDefault="00E875D0" w:rsidP="00E875D0">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8046" w14:textId="77777777" w:rsidR="002A05E5" w:rsidRPr="00876C32" w:rsidRDefault="002A05E5" w:rsidP="006A48E3">
      <w:r w:rsidRPr="00876C32">
        <w:separator/>
      </w:r>
    </w:p>
  </w:footnote>
  <w:footnote w:type="continuationSeparator" w:id="0">
    <w:p w14:paraId="00D6B2AC" w14:textId="77777777" w:rsidR="002A05E5" w:rsidRPr="00876C32" w:rsidRDefault="002A05E5" w:rsidP="006A48E3">
      <w:r w:rsidRPr="00876C3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F20"/>
    <w:multiLevelType w:val="multilevel"/>
    <w:tmpl w:val="CCE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5135"/>
    <w:multiLevelType w:val="hybridMultilevel"/>
    <w:tmpl w:val="6FB6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7FAB"/>
    <w:multiLevelType w:val="multilevel"/>
    <w:tmpl w:val="2F2278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8B77EA1"/>
    <w:multiLevelType w:val="multilevel"/>
    <w:tmpl w:val="746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42339"/>
    <w:multiLevelType w:val="multilevel"/>
    <w:tmpl w:val="DF2E75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2A14CD8"/>
    <w:multiLevelType w:val="multilevel"/>
    <w:tmpl w:val="818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71C0D"/>
    <w:multiLevelType w:val="multilevel"/>
    <w:tmpl w:val="893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35EF5"/>
    <w:multiLevelType w:val="multilevel"/>
    <w:tmpl w:val="5A1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326A6"/>
    <w:multiLevelType w:val="hybridMultilevel"/>
    <w:tmpl w:val="B13A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03BF9"/>
    <w:multiLevelType w:val="hybridMultilevel"/>
    <w:tmpl w:val="DF5A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4495E"/>
    <w:multiLevelType w:val="hybridMultilevel"/>
    <w:tmpl w:val="D53A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E03AF"/>
    <w:multiLevelType w:val="hybridMultilevel"/>
    <w:tmpl w:val="1024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24AF7"/>
    <w:multiLevelType w:val="hybridMultilevel"/>
    <w:tmpl w:val="525C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A6AFA"/>
    <w:multiLevelType w:val="hybridMultilevel"/>
    <w:tmpl w:val="CFB6F706"/>
    <w:lvl w:ilvl="0" w:tplc="56B2470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4152D"/>
    <w:multiLevelType w:val="hybridMultilevel"/>
    <w:tmpl w:val="133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3FB8"/>
    <w:multiLevelType w:val="multilevel"/>
    <w:tmpl w:val="7F96FE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C4B07E3"/>
    <w:multiLevelType w:val="multilevel"/>
    <w:tmpl w:val="72B041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31D2158"/>
    <w:multiLevelType w:val="multilevel"/>
    <w:tmpl w:val="D100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01E7D"/>
    <w:multiLevelType w:val="multilevel"/>
    <w:tmpl w:val="934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80CE3"/>
    <w:multiLevelType w:val="multilevel"/>
    <w:tmpl w:val="1AD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6052D"/>
    <w:multiLevelType w:val="multilevel"/>
    <w:tmpl w:val="8E7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D13CB"/>
    <w:multiLevelType w:val="multilevel"/>
    <w:tmpl w:val="18D0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F4E37"/>
    <w:multiLevelType w:val="multilevel"/>
    <w:tmpl w:val="C2D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E6C81"/>
    <w:multiLevelType w:val="hybridMultilevel"/>
    <w:tmpl w:val="B384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8741A"/>
    <w:multiLevelType w:val="multilevel"/>
    <w:tmpl w:val="CC4E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774A9"/>
    <w:multiLevelType w:val="multilevel"/>
    <w:tmpl w:val="7D8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95C40"/>
    <w:multiLevelType w:val="multilevel"/>
    <w:tmpl w:val="965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05C77"/>
    <w:multiLevelType w:val="multilevel"/>
    <w:tmpl w:val="30D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079F8"/>
    <w:multiLevelType w:val="multilevel"/>
    <w:tmpl w:val="C5D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25A2D"/>
    <w:multiLevelType w:val="multilevel"/>
    <w:tmpl w:val="920E9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E2967"/>
    <w:multiLevelType w:val="hybridMultilevel"/>
    <w:tmpl w:val="6D48B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850E8"/>
    <w:multiLevelType w:val="multilevel"/>
    <w:tmpl w:val="5188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A6C02"/>
    <w:multiLevelType w:val="multilevel"/>
    <w:tmpl w:val="A32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F95135"/>
    <w:multiLevelType w:val="multilevel"/>
    <w:tmpl w:val="6178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C6FFB"/>
    <w:multiLevelType w:val="multilevel"/>
    <w:tmpl w:val="9674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320E3"/>
    <w:multiLevelType w:val="hybridMultilevel"/>
    <w:tmpl w:val="B2F6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D59BF"/>
    <w:multiLevelType w:val="hybridMultilevel"/>
    <w:tmpl w:val="6A56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03B84"/>
    <w:multiLevelType w:val="multilevel"/>
    <w:tmpl w:val="F6B2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116EC"/>
    <w:multiLevelType w:val="multilevel"/>
    <w:tmpl w:val="269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D1D96"/>
    <w:multiLevelType w:val="multilevel"/>
    <w:tmpl w:val="963E58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7181324A"/>
    <w:multiLevelType w:val="multilevel"/>
    <w:tmpl w:val="097C2F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778459DD"/>
    <w:multiLevelType w:val="hybridMultilevel"/>
    <w:tmpl w:val="8D3E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F7272"/>
    <w:multiLevelType w:val="hybridMultilevel"/>
    <w:tmpl w:val="90B0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4357E"/>
    <w:multiLevelType w:val="multilevel"/>
    <w:tmpl w:val="A30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67950">
    <w:abstractNumId w:val="7"/>
  </w:num>
  <w:num w:numId="2" w16cid:durableId="751899181">
    <w:abstractNumId w:val="21"/>
  </w:num>
  <w:num w:numId="3" w16cid:durableId="1611888636">
    <w:abstractNumId w:val="2"/>
  </w:num>
  <w:num w:numId="4" w16cid:durableId="1704136360">
    <w:abstractNumId w:val="33"/>
  </w:num>
  <w:num w:numId="5" w16cid:durableId="230846905">
    <w:abstractNumId w:val="43"/>
  </w:num>
  <w:num w:numId="6" w16cid:durableId="337194265">
    <w:abstractNumId w:val="0"/>
  </w:num>
  <w:num w:numId="7" w16cid:durableId="1100249571">
    <w:abstractNumId w:val="26"/>
  </w:num>
  <w:num w:numId="8" w16cid:durableId="270434084">
    <w:abstractNumId w:val="32"/>
  </w:num>
  <w:num w:numId="9" w16cid:durableId="1621373776">
    <w:abstractNumId w:val="37"/>
  </w:num>
  <w:num w:numId="10" w16cid:durableId="1727022455">
    <w:abstractNumId w:val="27"/>
  </w:num>
  <w:num w:numId="11" w16cid:durableId="1534805295">
    <w:abstractNumId w:val="17"/>
  </w:num>
  <w:num w:numId="12" w16cid:durableId="1873809281">
    <w:abstractNumId w:val="31"/>
  </w:num>
  <w:num w:numId="13" w16cid:durableId="159122531">
    <w:abstractNumId w:val="3"/>
  </w:num>
  <w:num w:numId="14" w16cid:durableId="2139370597">
    <w:abstractNumId w:val="38"/>
  </w:num>
  <w:num w:numId="15" w16cid:durableId="1255553248">
    <w:abstractNumId w:val="18"/>
  </w:num>
  <w:num w:numId="16" w16cid:durableId="377750846">
    <w:abstractNumId w:val="19"/>
  </w:num>
  <w:num w:numId="17" w16cid:durableId="937059291">
    <w:abstractNumId w:val="29"/>
  </w:num>
  <w:num w:numId="18" w16cid:durableId="883365333">
    <w:abstractNumId w:val="23"/>
  </w:num>
  <w:num w:numId="19" w16cid:durableId="952859989">
    <w:abstractNumId w:val="42"/>
  </w:num>
  <w:num w:numId="20" w16cid:durableId="668095754">
    <w:abstractNumId w:val="11"/>
  </w:num>
  <w:num w:numId="21" w16cid:durableId="1794014403">
    <w:abstractNumId w:val="14"/>
  </w:num>
  <w:num w:numId="22" w16cid:durableId="1016806520">
    <w:abstractNumId w:val="8"/>
  </w:num>
  <w:num w:numId="23" w16cid:durableId="875698664">
    <w:abstractNumId w:val="1"/>
  </w:num>
  <w:num w:numId="24" w16cid:durableId="407000800">
    <w:abstractNumId w:val="10"/>
  </w:num>
  <w:num w:numId="25" w16cid:durableId="1912739629">
    <w:abstractNumId w:val="30"/>
  </w:num>
  <w:num w:numId="26" w16cid:durableId="36397807">
    <w:abstractNumId w:val="12"/>
  </w:num>
  <w:num w:numId="27" w16cid:durableId="1963803040">
    <w:abstractNumId w:val="35"/>
  </w:num>
  <w:num w:numId="28" w16cid:durableId="299894016">
    <w:abstractNumId w:val="4"/>
  </w:num>
  <w:num w:numId="29" w16cid:durableId="1224292131">
    <w:abstractNumId w:val="39"/>
  </w:num>
  <w:num w:numId="30" w16cid:durableId="361366782">
    <w:abstractNumId w:val="40"/>
  </w:num>
  <w:num w:numId="31" w16cid:durableId="1876887402">
    <w:abstractNumId w:val="15"/>
  </w:num>
  <w:num w:numId="32" w16cid:durableId="147937321">
    <w:abstractNumId w:val="16"/>
  </w:num>
  <w:num w:numId="33" w16cid:durableId="1106002251">
    <w:abstractNumId w:val="13"/>
  </w:num>
  <w:num w:numId="34" w16cid:durableId="331373223">
    <w:abstractNumId w:val="28"/>
  </w:num>
  <w:num w:numId="35" w16cid:durableId="1922714998">
    <w:abstractNumId w:val="22"/>
  </w:num>
  <w:num w:numId="36" w16cid:durableId="754402320">
    <w:abstractNumId w:val="25"/>
  </w:num>
  <w:num w:numId="37" w16cid:durableId="38669016">
    <w:abstractNumId w:val="5"/>
  </w:num>
  <w:num w:numId="38" w16cid:durableId="847671055">
    <w:abstractNumId w:val="24"/>
  </w:num>
  <w:num w:numId="39" w16cid:durableId="493761913">
    <w:abstractNumId w:val="20"/>
  </w:num>
  <w:num w:numId="40" w16cid:durableId="1755591482">
    <w:abstractNumId w:val="36"/>
  </w:num>
  <w:num w:numId="41" w16cid:durableId="220025231">
    <w:abstractNumId w:val="6"/>
  </w:num>
  <w:num w:numId="42" w16cid:durableId="133572536">
    <w:abstractNumId w:val="41"/>
  </w:num>
  <w:num w:numId="43" w16cid:durableId="417559460">
    <w:abstractNumId w:val="34"/>
  </w:num>
  <w:num w:numId="44" w16cid:durableId="195829359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74"/>
    <w:rsid w:val="0000083B"/>
    <w:rsid w:val="00015330"/>
    <w:rsid w:val="00022175"/>
    <w:rsid w:val="00024C50"/>
    <w:rsid w:val="00025A03"/>
    <w:rsid w:val="00032BB7"/>
    <w:rsid w:val="000331D2"/>
    <w:rsid w:val="000468FC"/>
    <w:rsid w:val="0006798A"/>
    <w:rsid w:val="000762FC"/>
    <w:rsid w:val="00082244"/>
    <w:rsid w:val="000859F1"/>
    <w:rsid w:val="000B41FA"/>
    <w:rsid w:val="000D3246"/>
    <w:rsid w:val="000E0B1F"/>
    <w:rsid w:val="000E471A"/>
    <w:rsid w:val="000E598A"/>
    <w:rsid w:val="000E61B4"/>
    <w:rsid w:val="000F13B5"/>
    <w:rsid w:val="000F301C"/>
    <w:rsid w:val="000F3DDB"/>
    <w:rsid w:val="00104151"/>
    <w:rsid w:val="001079E2"/>
    <w:rsid w:val="00117485"/>
    <w:rsid w:val="00122091"/>
    <w:rsid w:val="001229AD"/>
    <w:rsid w:val="00124C37"/>
    <w:rsid w:val="001275D4"/>
    <w:rsid w:val="001441B8"/>
    <w:rsid w:val="001608FF"/>
    <w:rsid w:val="00166DEC"/>
    <w:rsid w:val="001751AF"/>
    <w:rsid w:val="00182AD0"/>
    <w:rsid w:val="00183374"/>
    <w:rsid w:val="001A30DD"/>
    <w:rsid w:val="001A4D96"/>
    <w:rsid w:val="001A74D7"/>
    <w:rsid w:val="001B3020"/>
    <w:rsid w:val="001D3108"/>
    <w:rsid w:val="001D5107"/>
    <w:rsid w:val="001E01AE"/>
    <w:rsid w:val="001E1EB5"/>
    <w:rsid w:val="001F3591"/>
    <w:rsid w:val="001F7F25"/>
    <w:rsid w:val="002010E5"/>
    <w:rsid w:val="002056E6"/>
    <w:rsid w:val="00207B51"/>
    <w:rsid w:val="00227A40"/>
    <w:rsid w:val="002600E2"/>
    <w:rsid w:val="0026559B"/>
    <w:rsid w:val="00274CB5"/>
    <w:rsid w:val="00275BE4"/>
    <w:rsid w:val="0028760C"/>
    <w:rsid w:val="00290208"/>
    <w:rsid w:val="00296B47"/>
    <w:rsid w:val="002A05E5"/>
    <w:rsid w:val="002B37F4"/>
    <w:rsid w:val="002B7F55"/>
    <w:rsid w:val="002C2F8D"/>
    <w:rsid w:val="002D7600"/>
    <w:rsid w:val="002E25E9"/>
    <w:rsid w:val="002F550B"/>
    <w:rsid w:val="002F5F77"/>
    <w:rsid w:val="0030193C"/>
    <w:rsid w:val="00316F53"/>
    <w:rsid w:val="00331924"/>
    <w:rsid w:val="00347426"/>
    <w:rsid w:val="003604D6"/>
    <w:rsid w:val="0036404E"/>
    <w:rsid w:val="003812CB"/>
    <w:rsid w:val="00384EC1"/>
    <w:rsid w:val="00385212"/>
    <w:rsid w:val="00393D7B"/>
    <w:rsid w:val="003B3932"/>
    <w:rsid w:val="003D061A"/>
    <w:rsid w:val="003E7782"/>
    <w:rsid w:val="003F0223"/>
    <w:rsid w:val="003F4AB3"/>
    <w:rsid w:val="003F654F"/>
    <w:rsid w:val="004027E1"/>
    <w:rsid w:val="00412B82"/>
    <w:rsid w:val="004238BB"/>
    <w:rsid w:val="00426F00"/>
    <w:rsid w:val="0045103E"/>
    <w:rsid w:val="004937FD"/>
    <w:rsid w:val="00493CDD"/>
    <w:rsid w:val="004962FF"/>
    <w:rsid w:val="004A0722"/>
    <w:rsid w:val="004A1EBB"/>
    <w:rsid w:val="004B4C02"/>
    <w:rsid w:val="004C10C7"/>
    <w:rsid w:val="004E45D4"/>
    <w:rsid w:val="004E6F1E"/>
    <w:rsid w:val="004F6453"/>
    <w:rsid w:val="00500B4E"/>
    <w:rsid w:val="00500C93"/>
    <w:rsid w:val="00504B04"/>
    <w:rsid w:val="0050673B"/>
    <w:rsid w:val="00530C5F"/>
    <w:rsid w:val="00537692"/>
    <w:rsid w:val="00540D40"/>
    <w:rsid w:val="005429C0"/>
    <w:rsid w:val="00544CA5"/>
    <w:rsid w:val="00554794"/>
    <w:rsid w:val="00567DDD"/>
    <w:rsid w:val="0057273F"/>
    <w:rsid w:val="00575AC0"/>
    <w:rsid w:val="00577647"/>
    <w:rsid w:val="00580326"/>
    <w:rsid w:val="00581E3F"/>
    <w:rsid w:val="00587975"/>
    <w:rsid w:val="00587E5B"/>
    <w:rsid w:val="005B7178"/>
    <w:rsid w:val="005C1B33"/>
    <w:rsid w:val="005C52D7"/>
    <w:rsid w:val="005C557B"/>
    <w:rsid w:val="005C6124"/>
    <w:rsid w:val="005E3682"/>
    <w:rsid w:val="005E4064"/>
    <w:rsid w:val="005F115A"/>
    <w:rsid w:val="005F227E"/>
    <w:rsid w:val="00615523"/>
    <w:rsid w:val="00623CBB"/>
    <w:rsid w:val="00624BA5"/>
    <w:rsid w:val="00632D05"/>
    <w:rsid w:val="00650D11"/>
    <w:rsid w:val="00654E39"/>
    <w:rsid w:val="00680414"/>
    <w:rsid w:val="00696995"/>
    <w:rsid w:val="006A48E3"/>
    <w:rsid w:val="006B18D3"/>
    <w:rsid w:val="006B7A91"/>
    <w:rsid w:val="006C345D"/>
    <w:rsid w:val="006D66C2"/>
    <w:rsid w:val="00705D49"/>
    <w:rsid w:val="00745DA7"/>
    <w:rsid w:val="00747617"/>
    <w:rsid w:val="00756A82"/>
    <w:rsid w:val="00756B96"/>
    <w:rsid w:val="00774379"/>
    <w:rsid w:val="007750FE"/>
    <w:rsid w:val="00781753"/>
    <w:rsid w:val="00784CB2"/>
    <w:rsid w:val="00787476"/>
    <w:rsid w:val="00793ED8"/>
    <w:rsid w:val="00795870"/>
    <w:rsid w:val="0079692E"/>
    <w:rsid w:val="007A6986"/>
    <w:rsid w:val="007B4B30"/>
    <w:rsid w:val="007D71D4"/>
    <w:rsid w:val="007E475E"/>
    <w:rsid w:val="007E6F0A"/>
    <w:rsid w:val="007F3D7E"/>
    <w:rsid w:val="007F4A72"/>
    <w:rsid w:val="007F6996"/>
    <w:rsid w:val="008068B8"/>
    <w:rsid w:val="00811C71"/>
    <w:rsid w:val="00812D9D"/>
    <w:rsid w:val="00843E18"/>
    <w:rsid w:val="00845FFD"/>
    <w:rsid w:val="00850678"/>
    <w:rsid w:val="00861CE3"/>
    <w:rsid w:val="008656ED"/>
    <w:rsid w:val="008738B9"/>
    <w:rsid w:val="00876C32"/>
    <w:rsid w:val="00876C72"/>
    <w:rsid w:val="008820E7"/>
    <w:rsid w:val="00897BA3"/>
    <w:rsid w:val="008A0391"/>
    <w:rsid w:val="008A79BC"/>
    <w:rsid w:val="008E0D89"/>
    <w:rsid w:val="008F0792"/>
    <w:rsid w:val="008F2884"/>
    <w:rsid w:val="008F6CBE"/>
    <w:rsid w:val="00900711"/>
    <w:rsid w:val="0090337E"/>
    <w:rsid w:val="00923BDD"/>
    <w:rsid w:val="00923FD2"/>
    <w:rsid w:val="009266FD"/>
    <w:rsid w:val="00930919"/>
    <w:rsid w:val="00936F53"/>
    <w:rsid w:val="00944811"/>
    <w:rsid w:val="0094760B"/>
    <w:rsid w:val="00951020"/>
    <w:rsid w:val="009538B0"/>
    <w:rsid w:val="00954F77"/>
    <w:rsid w:val="009551BD"/>
    <w:rsid w:val="00960708"/>
    <w:rsid w:val="00963111"/>
    <w:rsid w:val="00966C87"/>
    <w:rsid w:val="00973244"/>
    <w:rsid w:val="009754CC"/>
    <w:rsid w:val="009A0559"/>
    <w:rsid w:val="009D1AA1"/>
    <w:rsid w:val="009D7172"/>
    <w:rsid w:val="009F03A9"/>
    <w:rsid w:val="009F07C0"/>
    <w:rsid w:val="009F6229"/>
    <w:rsid w:val="00A00580"/>
    <w:rsid w:val="00A23549"/>
    <w:rsid w:val="00A237A3"/>
    <w:rsid w:val="00A27E83"/>
    <w:rsid w:val="00A343BE"/>
    <w:rsid w:val="00A406D3"/>
    <w:rsid w:val="00A433CB"/>
    <w:rsid w:val="00A44C16"/>
    <w:rsid w:val="00A459B8"/>
    <w:rsid w:val="00A61A94"/>
    <w:rsid w:val="00A64F32"/>
    <w:rsid w:val="00A90053"/>
    <w:rsid w:val="00A97854"/>
    <w:rsid w:val="00AA000E"/>
    <w:rsid w:val="00AA4692"/>
    <w:rsid w:val="00AA46AC"/>
    <w:rsid w:val="00AA4831"/>
    <w:rsid w:val="00AA6BB6"/>
    <w:rsid w:val="00AB1596"/>
    <w:rsid w:val="00AB51B1"/>
    <w:rsid w:val="00AC4B00"/>
    <w:rsid w:val="00AC770A"/>
    <w:rsid w:val="00AD240E"/>
    <w:rsid w:val="00AE793C"/>
    <w:rsid w:val="00AF6F20"/>
    <w:rsid w:val="00B02F91"/>
    <w:rsid w:val="00B0479B"/>
    <w:rsid w:val="00B047D6"/>
    <w:rsid w:val="00B12540"/>
    <w:rsid w:val="00B2389C"/>
    <w:rsid w:val="00B23C4B"/>
    <w:rsid w:val="00B425ED"/>
    <w:rsid w:val="00B61F21"/>
    <w:rsid w:val="00B64999"/>
    <w:rsid w:val="00B72CB0"/>
    <w:rsid w:val="00B75F4B"/>
    <w:rsid w:val="00B85027"/>
    <w:rsid w:val="00BC25DA"/>
    <w:rsid w:val="00BD0283"/>
    <w:rsid w:val="00BD6831"/>
    <w:rsid w:val="00BE2C9B"/>
    <w:rsid w:val="00BF171E"/>
    <w:rsid w:val="00BF741B"/>
    <w:rsid w:val="00C01710"/>
    <w:rsid w:val="00C06E97"/>
    <w:rsid w:val="00C335DE"/>
    <w:rsid w:val="00C3403C"/>
    <w:rsid w:val="00C35AA6"/>
    <w:rsid w:val="00C514D6"/>
    <w:rsid w:val="00C54295"/>
    <w:rsid w:val="00C57DDC"/>
    <w:rsid w:val="00C627FC"/>
    <w:rsid w:val="00C7180F"/>
    <w:rsid w:val="00C75EFD"/>
    <w:rsid w:val="00C7743F"/>
    <w:rsid w:val="00C807D4"/>
    <w:rsid w:val="00C901C7"/>
    <w:rsid w:val="00C928B3"/>
    <w:rsid w:val="00C933C1"/>
    <w:rsid w:val="00CC3F65"/>
    <w:rsid w:val="00CD0746"/>
    <w:rsid w:val="00CD33DA"/>
    <w:rsid w:val="00CD36FF"/>
    <w:rsid w:val="00CD3D46"/>
    <w:rsid w:val="00CE516F"/>
    <w:rsid w:val="00CE636D"/>
    <w:rsid w:val="00CF054D"/>
    <w:rsid w:val="00CF1237"/>
    <w:rsid w:val="00CF23A3"/>
    <w:rsid w:val="00D051EA"/>
    <w:rsid w:val="00D0665E"/>
    <w:rsid w:val="00D21EB0"/>
    <w:rsid w:val="00D23262"/>
    <w:rsid w:val="00D46D93"/>
    <w:rsid w:val="00D47715"/>
    <w:rsid w:val="00D5162F"/>
    <w:rsid w:val="00D53CD3"/>
    <w:rsid w:val="00D54EC7"/>
    <w:rsid w:val="00D73C5D"/>
    <w:rsid w:val="00D76513"/>
    <w:rsid w:val="00D85CCA"/>
    <w:rsid w:val="00D96339"/>
    <w:rsid w:val="00DA0C0B"/>
    <w:rsid w:val="00DA1B2F"/>
    <w:rsid w:val="00DA2B0A"/>
    <w:rsid w:val="00DA7129"/>
    <w:rsid w:val="00DB2583"/>
    <w:rsid w:val="00DB3962"/>
    <w:rsid w:val="00DD0408"/>
    <w:rsid w:val="00DE38A3"/>
    <w:rsid w:val="00DE39D1"/>
    <w:rsid w:val="00DF2F06"/>
    <w:rsid w:val="00E000B3"/>
    <w:rsid w:val="00E06035"/>
    <w:rsid w:val="00E11E39"/>
    <w:rsid w:val="00E150C4"/>
    <w:rsid w:val="00E15144"/>
    <w:rsid w:val="00E2736B"/>
    <w:rsid w:val="00E277AE"/>
    <w:rsid w:val="00E4323C"/>
    <w:rsid w:val="00E82E03"/>
    <w:rsid w:val="00E8326B"/>
    <w:rsid w:val="00E84F70"/>
    <w:rsid w:val="00E875D0"/>
    <w:rsid w:val="00E93009"/>
    <w:rsid w:val="00EA42B6"/>
    <w:rsid w:val="00EB3A61"/>
    <w:rsid w:val="00EB3FF1"/>
    <w:rsid w:val="00EB7CD5"/>
    <w:rsid w:val="00ED22D0"/>
    <w:rsid w:val="00EE4B97"/>
    <w:rsid w:val="00EF30D0"/>
    <w:rsid w:val="00EF7551"/>
    <w:rsid w:val="00F277D5"/>
    <w:rsid w:val="00F36B0C"/>
    <w:rsid w:val="00F465C1"/>
    <w:rsid w:val="00F51554"/>
    <w:rsid w:val="00F6556A"/>
    <w:rsid w:val="00F70BA9"/>
    <w:rsid w:val="00F70BED"/>
    <w:rsid w:val="00F822BA"/>
    <w:rsid w:val="00F8438F"/>
    <w:rsid w:val="00F873C8"/>
    <w:rsid w:val="00F95021"/>
    <w:rsid w:val="00FA0A17"/>
    <w:rsid w:val="00FA23F2"/>
    <w:rsid w:val="00FB20F6"/>
    <w:rsid w:val="00FB2378"/>
    <w:rsid w:val="00FC2E52"/>
    <w:rsid w:val="00FE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6651CF63"/>
  <w15:docId w15:val="{38F31DF2-7362-4EFE-A9FF-6D2A3680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220"/>
      <w:ind w:left="160"/>
      <w:outlineLvl w:val="0"/>
    </w:pPr>
    <w:rPr>
      <w:b/>
      <w:bCs/>
      <w:sz w:val="20"/>
      <w:szCs w:val="20"/>
    </w:rPr>
  </w:style>
  <w:style w:type="paragraph" w:styleId="Heading2">
    <w:name w:val="heading 2"/>
    <w:basedOn w:val="Normal"/>
    <w:next w:val="Normal"/>
    <w:link w:val="Heading2Char"/>
    <w:uiPriority w:val="9"/>
    <w:semiHidden/>
    <w:unhideWhenUsed/>
    <w:qFormat/>
    <w:rsid w:val="00F873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A07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pPr>
    <w:rPr>
      <w:sz w:val="20"/>
      <w:szCs w:val="20"/>
    </w:rPr>
  </w:style>
  <w:style w:type="paragraph" w:styleId="Title">
    <w:name w:val="Title"/>
    <w:basedOn w:val="Normal"/>
    <w:uiPriority w:val="10"/>
    <w:qFormat/>
    <w:pPr>
      <w:spacing w:before="88" w:line="460" w:lineRule="exact"/>
      <w:ind w:left="160"/>
    </w:pPr>
    <w:rPr>
      <w:b/>
      <w:bCs/>
      <w:sz w:val="40"/>
      <w:szCs w:val="40"/>
    </w:rPr>
  </w:style>
  <w:style w:type="paragraph" w:styleId="ListParagraph">
    <w:name w:val="List Paragraph"/>
    <w:basedOn w:val="Normal"/>
    <w:uiPriority w:val="1"/>
    <w:qFormat/>
    <w:pPr>
      <w:spacing w:line="262" w:lineRule="exact"/>
      <w:ind w:left="8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48E3"/>
    <w:pPr>
      <w:tabs>
        <w:tab w:val="center" w:pos="4680"/>
        <w:tab w:val="right" w:pos="9360"/>
      </w:tabs>
    </w:pPr>
  </w:style>
  <w:style w:type="character" w:customStyle="1" w:styleId="HeaderChar">
    <w:name w:val="Header Char"/>
    <w:basedOn w:val="DefaultParagraphFont"/>
    <w:link w:val="Header"/>
    <w:uiPriority w:val="99"/>
    <w:rsid w:val="006A48E3"/>
    <w:rPr>
      <w:rFonts w:ascii="Arial" w:eastAsia="Arial" w:hAnsi="Arial" w:cs="Arial"/>
    </w:rPr>
  </w:style>
  <w:style w:type="paragraph" w:styleId="Footer">
    <w:name w:val="footer"/>
    <w:basedOn w:val="Normal"/>
    <w:link w:val="FooterChar"/>
    <w:uiPriority w:val="99"/>
    <w:unhideWhenUsed/>
    <w:rsid w:val="006A48E3"/>
    <w:pPr>
      <w:tabs>
        <w:tab w:val="center" w:pos="4680"/>
        <w:tab w:val="right" w:pos="9360"/>
      </w:tabs>
    </w:pPr>
  </w:style>
  <w:style w:type="character" w:customStyle="1" w:styleId="FooterChar">
    <w:name w:val="Footer Char"/>
    <w:basedOn w:val="DefaultParagraphFont"/>
    <w:link w:val="Footer"/>
    <w:uiPriority w:val="99"/>
    <w:rsid w:val="006A48E3"/>
    <w:rPr>
      <w:rFonts w:ascii="Arial" w:eastAsia="Arial" w:hAnsi="Arial" w:cs="Arial"/>
    </w:rPr>
  </w:style>
  <w:style w:type="character" w:customStyle="1" w:styleId="Heading1Char">
    <w:name w:val="Heading 1 Char"/>
    <w:basedOn w:val="DefaultParagraphFont"/>
    <w:link w:val="Heading1"/>
    <w:uiPriority w:val="9"/>
    <w:rsid w:val="00347426"/>
    <w:rPr>
      <w:rFonts w:ascii="Arial" w:eastAsia="Arial" w:hAnsi="Arial" w:cs="Arial"/>
      <w:b/>
      <w:bCs/>
      <w:sz w:val="20"/>
      <w:szCs w:val="20"/>
    </w:rPr>
  </w:style>
  <w:style w:type="character" w:styleId="Hyperlink">
    <w:name w:val="Hyperlink"/>
    <w:basedOn w:val="DefaultParagraphFont"/>
    <w:uiPriority w:val="99"/>
    <w:unhideWhenUsed/>
    <w:rsid w:val="00774379"/>
    <w:rPr>
      <w:color w:val="0000FF" w:themeColor="hyperlink"/>
      <w:u w:val="single"/>
    </w:rPr>
  </w:style>
  <w:style w:type="character" w:styleId="UnresolvedMention">
    <w:name w:val="Unresolved Mention"/>
    <w:basedOn w:val="DefaultParagraphFont"/>
    <w:uiPriority w:val="99"/>
    <w:semiHidden/>
    <w:unhideWhenUsed/>
    <w:rsid w:val="00774379"/>
    <w:rPr>
      <w:color w:val="605E5C"/>
      <w:shd w:val="clear" w:color="auto" w:fill="E1DFDD"/>
    </w:rPr>
  </w:style>
  <w:style w:type="character" w:customStyle="1" w:styleId="Heading3Char">
    <w:name w:val="Heading 3 Char"/>
    <w:basedOn w:val="DefaultParagraphFont"/>
    <w:link w:val="Heading3"/>
    <w:uiPriority w:val="9"/>
    <w:semiHidden/>
    <w:rsid w:val="004A0722"/>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D53CD3"/>
    <w:rPr>
      <w:rFonts w:ascii="Arial" w:eastAsia="Arial" w:hAnsi="Arial" w:cs="Arial"/>
      <w:sz w:val="20"/>
      <w:szCs w:val="20"/>
    </w:rPr>
  </w:style>
  <w:style w:type="table" w:styleId="TableGrid">
    <w:name w:val="Table Grid"/>
    <w:basedOn w:val="TableNormal"/>
    <w:uiPriority w:val="39"/>
    <w:rsid w:val="002F5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20F6"/>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F873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665938">
      <w:bodyDiv w:val="1"/>
      <w:marLeft w:val="0"/>
      <w:marRight w:val="0"/>
      <w:marTop w:val="0"/>
      <w:marBottom w:val="0"/>
      <w:divBdr>
        <w:top w:val="none" w:sz="0" w:space="0" w:color="auto"/>
        <w:left w:val="none" w:sz="0" w:space="0" w:color="auto"/>
        <w:bottom w:val="none" w:sz="0" w:space="0" w:color="auto"/>
        <w:right w:val="none" w:sz="0" w:space="0" w:color="auto"/>
      </w:divBdr>
    </w:div>
    <w:div w:id="885142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749</Words>
  <Characters>4918</Characters>
  <Application>Microsoft Office Word</Application>
  <DocSecurity>0</DocSecurity>
  <Lines>409</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Arielle Semmel</dc:creator>
  <cp:lastModifiedBy>MIchael Alroy</cp:lastModifiedBy>
  <cp:revision>32</cp:revision>
  <dcterms:created xsi:type="dcterms:W3CDTF">2026-01-14T15:07:00Z</dcterms:created>
  <dcterms:modified xsi:type="dcterms:W3CDTF">2026-01-14T16:09:00Z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for Office 365</vt:lpwstr>
  </property>
  <property fmtid="{D5CDD505-2E9C-101B-9397-08002B2CF9AE}" pid="4" name="LastSaved">
    <vt:filetime>2023-05-09T00:00:00Z</vt:filetime>
  </property>
  <property fmtid="{D5CDD505-2E9C-101B-9397-08002B2CF9AE}" pid="5" name="Producer">
    <vt:lpwstr>Microsoft® Word for Office 365</vt:lpwstr>
  </property>
</Properties>
</file>